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E821" w14:textId="2C83C7B9" w:rsidR="00CF2D94" w:rsidRPr="00B12140" w:rsidRDefault="00B12140" w:rsidP="00627B0D">
      <w:pPr>
        <w:pStyle w:val="AEMCHEADERL1"/>
        <w:outlineLvl w:val="0"/>
        <w:rPr>
          <w:sz w:val="36"/>
          <w:szCs w:val="30"/>
        </w:rPr>
      </w:pPr>
      <w:r w:rsidRPr="00B12140">
        <w:rPr>
          <w:sz w:val="36"/>
          <w:szCs w:val="30"/>
        </w:rPr>
        <w:t>ERC0304 Enhancing operational resilience in relation to indistinct events</w:t>
      </w:r>
    </w:p>
    <w:p w14:paraId="619F10D4" w14:textId="77777777" w:rsidR="00CF2D94" w:rsidRPr="00B12140" w:rsidRDefault="005E638A" w:rsidP="00627B0D">
      <w:pPr>
        <w:pStyle w:val="AEMCHeaderL2"/>
        <w:outlineLvl w:val="0"/>
        <w:rPr>
          <w:sz w:val="32"/>
          <w:szCs w:val="34"/>
        </w:rPr>
      </w:pPr>
      <w:r w:rsidRPr="00B12140">
        <w:rPr>
          <w:sz w:val="32"/>
          <w:szCs w:val="26"/>
        </w:rPr>
        <w:t>stakeholder feedback template</w:t>
      </w:r>
    </w:p>
    <w:p w14:paraId="2E5582DD" w14:textId="186F5C7D"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w:t>
      </w:r>
      <w:proofErr w:type="gramStart"/>
      <w:r w:rsidRPr="008C6A18">
        <w:rPr>
          <w:rStyle w:val="Hyperlink"/>
        </w:rPr>
        <w:t>particular interest</w:t>
      </w:r>
      <w:proofErr w:type="gramEnd"/>
      <w:r w:rsidRPr="008C6A18">
        <w:rPr>
          <w:rStyle w:val="Hyperlink"/>
        </w:rPr>
        <w:t xml:space="preserve"> or concern. Further context for the questions can be found in the consultation paper.</w:t>
      </w:r>
      <w:r w:rsidR="00C66FB7">
        <w:rPr>
          <w:rStyle w:val="Hyperlink"/>
        </w:rPr>
        <w:t xml:space="preserve"> Stakeholders are also encouraged to </w:t>
      </w:r>
      <w:r w:rsidR="00BB01AD">
        <w:rPr>
          <w:rStyle w:val="Hyperlink"/>
        </w:rPr>
        <w:t xml:space="preserve">provide evidence to support claims where possible. </w:t>
      </w:r>
    </w:p>
    <w:p w14:paraId="218A16B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5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3039"/>
      </w:tblGrid>
      <w:tr w:rsidR="009E7726" w:rsidRPr="00A85F9E" w14:paraId="0E4E8C04" w14:textId="77777777" w:rsidTr="009E7726">
        <w:tc>
          <w:tcPr>
            <w:tcW w:w="1560" w:type="dxa"/>
          </w:tcPr>
          <w:p w14:paraId="4995B6A1" w14:textId="77777777" w:rsidR="008C6A18" w:rsidRPr="00780BB3" w:rsidRDefault="000C745C" w:rsidP="000C745C">
            <w:pPr>
              <w:pStyle w:val="AEMCTableCopySubmitterDetails"/>
              <w:rPr>
                <w:rStyle w:val="Hyperlink"/>
                <w:b/>
              </w:rPr>
            </w:pPr>
            <w:r w:rsidRPr="00780BB3">
              <w:rPr>
                <w:rStyle w:val="Hyperlink"/>
                <w:b/>
              </w:rPr>
              <w:t>ORGANISATION:</w:t>
            </w:r>
          </w:p>
        </w:tc>
        <w:tc>
          <w:tcPr>
            <w:tcW w:w="13039" w:type="dxa"/>
          </w:tcPr>
          <w:p w14:paraId="0F8C2405" w14:textId="77777777" w:rsidR="008C6A18" w:rsidRPr="00785222" w:rsidRDefault="00712806" w:rsidP="009E7726">
            <w:pPr>
              <w:pStyle w:val="AEMCTableCopySubmitterDetails"/>
              <w:tabs>
                <w:tab w:val="left" w:pos="5727"/>
              </w:tab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9E7726" w:rsidRPr="00A85F9E" w14:paraId="4E0134D7" w14:textId="77777777" w:rsidTr="009E7726">
        <w:tc>
          <w:tcPr>
            <w:tcW w:w="1560" w:type="dxa"/>
          </w:tcPr>
          <w:p w14:paraId="765E31C4" w14:textId="77777777" w:rsidR="008C6A18" w:rsidRPr="00780BB3" w:rsidRDefault="000C745C" w:rsidP="000C745C">
            <w:pPr>
              <w:pStyle w:val="AEMCTableCopySubmitterDetails"/>
              <w:rPr>
                <w:rStyle w:val="Hyperlink"/>
                <w:b/>
              </w:rPr>
            </w:pPr>
            <w:r w:rsidRPr="00780BB3">
              <w:rPr>
                <w:rStyle w:val="Hyperlink"/>
                <w:b/>
              </w:rPr>
              <w:t>CONTACT NAME:</w:t>
            </w:r>
          </w:p>
        </w:tc>
        <w:tc>
          <w:tcPr>
            <w:tcW w:w="13039" w:type="dxa"/>
          </w:tcPr>
          <w:p w14:paraId="16A834E0"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bookmarkStart w:id="2" w:name="_GoBack"/>
            <w:bookmarkEnd w:id="2"/>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9E7726" w:rsidRPr="00A85F9E" w14:paraId="377D784D" w14:textId="77777777" w:rsidTr="009E7726">
        <w:tc>
          <w:tcPr>
            <w:tcW w:w="1560" w:type="dxa"/>
          </w:tcPr>
          <w:p w14:paraId="1F54F02D" w14:textId="77777777" w:rsidR="008C6A18" w:rsidRPr="00780BB3" w:rsidRDefault="000C745C" w:rsidP="000C745C">
            <w:pPr>
              <w:pStyle w:val="AEMCTableCopySubmitterDetails"/>
              <w:rPr>
                <w:rStyle w:val="Hyperlink"/>
                <w:b/>
              </w:rPr>
            </w:pPr>
            <w:r w:rsidRPr="00780BB3">
              <w:rPr>
                <w:rStyle w:val="Hyperlink"/>
                <w:b/>
              </w:rPr>
              <w:t>EMAIL:</w:t>
            </w:r>
          </w:p>
        </w:tc>
        <w:tc>
          <w:tcPr>
            <w:tcW w:w="13039" w:type="dxa"/>
          </w:tcPr>
          <w:p w14:paraId="188EC08C"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3"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9E7726" w:rsidRPr="00A85F9E" w14:paraId="195B3E40" w14:textId="77777777" w:rsidTr="009E7726">
        <w:tc>
          <w:tcPr>
            <w:tcW w:w="1560" w:type="dxa"/>
          </w:tcPr>
          <w:p w14:paraId="637CF9B6" w14:textId="77777777" w:rsidR="008C6A18" w:rsidRPr="00780BB3" w:rsidRDefault="000C745C" w:rsidP="000C745C">
            <w:pPr>
              <w:pStyle w:val="AEMCTableCopySubmitterDetails"/>
              <w:rPr>
                <w:rStyle w:val="Hyperlink"/>
                <w:b/>
              </w:rPr>
            </w:pPr>
            <w:r w:rsidRPr="00780BB3">
              <w:rPr>
                <w:rStyle w:val="Hyperlink"/>
                <w:b/>
              </w:rPr>
              <w:t>PHONE:</w:t>
            </w:r>
          </w:p>
        </w:tc>
        <w:tc>
          <w:tcPr>
            <w:tcW w:w="13039" w:type="dxa"/>
          </w:tcPr>
          <w:p w14:paraId="4C84AFDB"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4"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5C6FE0FC" w14:textId="78FF4C7A" w:rsidR="00A85F9E" w:rsidRPr="008A4886" w:rsidRDefault="008A4886" w:rsidP="008A4886">
      <w:pPr>
        <w:pStyle w:val="AEMCHeaderL4"/>
        <w:rPr>
          <w:rStyle w:val="Hyperlink"/>
        </w:rPr>
      </w:pPr>
      <w:r w:rsidRPr="008A4886">
        <w:rPr>
          <w:rStyle w:val="Hyperlink"/>
          <w:b/>
        </w:rPr>
        <w:t xml:space="preserve">CHAPTER </w:t>
      </w:r>
      <w:r w:rsidR="009E2A5C">
        <w:rPr>
          <w:rStyle w:val="Hyperlink"/>
          <w:b/>
        </w:rPr>
        <w:t>3</w:t>
      </w:r>
      <w:r w:rsidRPr="008A4886">
        <w:rPr>
          <w:rStyle w:val="Hyperlink"/>
        </w:rPr>
        <w:t xml:space="preserve"> </w:t>
      </w:r>
      <w:r w:rsidR="00296038">
        <w:rPr>
          <w:rStyle w:val="Hyperlink"/>
        </w:rPr>
        <w:t xml:space="preserve">— Assessment framework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052A04" w:rsidRPr="0000465F" w14:paraId="4D2E8330" w14:textId="77777777" w:rsidTr="00052A04">
        <w:trPr>
          <w:trHeight w:val="567"/>
        </w:trPr>
        <w:tc>
          <w:tcPr>
            <w:tcW w:w="14626" w:type="dxa"/>
            <w:gridSpan w:val="2"/>
            <w:tcBorders>
              <w:top w:val="single" w:sz="18" w:space="0" w:color="00A8E5" w:themeColor="accent1"/>
            </w:tcBorders>
            <w:shd w:val="clear" w:color="auto" w:fill="F6F6F6"/>
            <w:vAlign w:val="center"/>
          </w:tcPr>
          <w:p w14:paraId="4B17052E" w14:textId="3B11B4D8" w:rsidR="00052A04" w:rsidRPr="00052A04" w:rsidRDefault="0011699D" w:rsidP="0011699D">
            <w:pPr>
              <w:pStyle w:val="AEMCTableBodyCopyNumbers"/>
              <w:numPr>
                <w:ilvl w:val="0"/>
                <w:numId w:val="0"/>
              </w:numPr>
              <w:ind w:left="284" w:hanging="284"/>
              <w:rPr>
                <w:rStyle w:val="Hyperlink"/>
                <w:b/>
              </w:rPr>
            </w:pPr>
            <w:r>
              <w:rPr>
                <w:b/>
              </w:rPr>
              <w:t>Question 1</w:t>
            </w:r>
            <w:r w:rsidRPr="00EE2007">
              <w:rPr>
                <w:b/>
              </w:rPr>
              <w:t xml:space="preserve"> </w:t>
            </w:r>
            <w:r w:rsidR="00EE2007" w:rsidRPr="00EE2007">
              <w:rPr>
                <w:b/>
              </w:rPr>
              <w:t>— Assessment principles</w:t>
            </w:r>
          </w:p>
        </w:tc>
      </w:tr>
      <w:tr w:rsidR="009E7726" w:rsidRPr="0000465F" w14:paraId="05437FE7" w14:textId="77777777" w:rsidTr="006055DC">
        <w:trPr>
          <w:trHeight w:val="1224"/>
        </w:trPr>
        <w:tc>
          <w:tcPr>
            <w:tcW w:w="4535" w:type="dxa"/>
            <w:tcBorders>
              <w:right w:val="single" w:sz="2" w:space="0" w:color="58595B" w:themeColor="accent4"/>
            </w:tcBorders>
            <w:shd w:val="clear" w:color="auto" w:fill="F6F6F6"/>
            <w:vAlign w:val="center"/>
          </w:tcPr>
          <w:p w14:paraId="0C6B9B3D" w14:textId="6FD2B22B" w:rsidR="008A4886" w:rsidRPr="00A973E5" w:rsidRDefault="00EE2007" w:rsidP="00910D8F">
            <w:pPr>
              <w:pStyle w:val="AEMCBodyCopyNumberedList01"/>
              <w:rPr>
                <w:rStyle w:val="Hyperlink"/>
                <w:rFonts w:ascii="DGCBO L+ Tahoma" w:hAnsi="DGCBO L+ Tahoma" w:cs="DGCBO L+ Tahoma"/>
                <w:color w:val="464646"/>
                <w:sz w:val="20"/>
                <w:szCs w:val="20"/>
                <w:lang w:val="en-AU"/>
              </w:rPr>
            </w:pPr>
            <w:r w:rsidRPr="00A973E5">
              <w:rPr>
                <w:lang w:val="en-AU"/>
              </w:rPr>
              <w:t>Do stakeholders support using the proposed assessment framework?</w:t>
            </w:r>
          </w:p>
        </w:tc>
        <w:tc>
          <w:tcPr>
            <w:tcW w:w="10091" w:type="dxa"/>
            <w:tcBorders>
              <w:left w:val="single" w:sz="2" w:space="0" w:color="58595B" w:themeColor="accent4"/>
            </w:tcBorders>
            <w:vAlign w:val="center"/>
          </w:tcPr>
          <w:p w14:paraId="172F1BA0" w14:textId="77777777" w:rsidR="008A4886" w:rsidRPr="00785222" w:rsidRDefault="00712806" w:rsidP="00052A04">
            <w:pPr>
              <w:pStyle w:val="AEMCTableBodyCopy"/>
              <w:rPr>
                <w:rStyle w:val="Hyperlink"/>
              </w:rPr>
            </w:pPr>
            <w:r w:rsidRPr="00785222">
              <w:rPr>
                <w:rStyle w:val="Hyperlink"/>
              </w:rPr>
              <w:fldChar w:fldCharType="begin">
                <w:ffData>
                  <w:name w:val="Text6"/>
                  <w:enabled/>
                  <w:calcOnExit w:val="0"/>
                  <w:textInput/>
                </w:ffData>
              </w:fldChar>
            </w:r>
            <w:bookmarkStart w:id="5"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052A04" w:rsidRPr="0000465F" w14:paraId="25E2C388" w14:textId="77777777" w:rsidTr="0033096F">
        <w:trPr>
          <w:trHeight w:val="1688"/>
        </w:trPr>
        <w:tc>
          <w:tcPr>
            <w:tcW w:w="4535" w:type="dxa"/>
            <w:tcBorders>
              <w:right w:val="single" w:sz="2" w:space="0" w:color="58595B" w:themeColor="accent4"/>
            </w:tcBorders>
            <w:shd w:val="clear" w:color="auto" w:fill="F6F6F6"/>
            <w:vAlign w:val="center"/>
          </w:tcPr>
          <w:p w14:paraId="098E6BEE" w14:textId="52FE3D37" w:rsidR="00052A04" w:rsidRPr="004F4374" w:rsidRDefault="004F4374" w:rsidP="00910D8F">
            <w:pPr>
              <w:pStyle w:val="AEMCBodyCopyNumberedList01"/>
              <w:rPr>
                <w:rStyle w:val="Hyperlink"/>
                <w:lang w:val="en-AU"/>
              </w:rPr>
            </w:pPr>
            <w:r w:rsidRPr="004F4374">
              <w:rPr>
                <w:lang w:val="en-AU"/>
              </w:rPr>
              <w:t>Are there any other principles that the Commission should consider when assessing the proposed rule?</w:t>
            </w:r>
          </w:p>
        </w:tc>
        <w:tc>
          <w:tcPr>
            <w:tcW w:w="10091" w:type="dxa"/>
            <w:tcBorders>
              <w:left w:val="single" w:sz="2" w:space="0" w:color="58595B" w:themeColor="accent4"/>
            </w:tcBorders>
            <w:vAlign w:val="center"/>
          </w:tcPr>
          <w:p w14:paraId="37CF46FA" w14:textId="77777777" w:rsidR="00052A04" w:rsidRPr="00785222" w:rsidRDefault="002B679B" w:rsidP="00052A04">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17F6ECD" w14:textId="6CFAA54C" w:rsidR="00DD0B3D" w:rsidRPr="008A4886" w:rsidRDefault="00DD0B3D" w:rsidP="00DD0B3D">
      <w:pPr>
        <w:pStyle w:val="AEMCHeaderL4"/>
        <w:rPr>
          <w:rStyle w:val="Hyperlink"/>
        </w:rPr>
      </w:pPr>
      <w:r w:rsidRPr="008A4886">
        <w:rPr>
          <w:rStyle w:val="Hyperlink"/>
          <w:b/>
        </w:rPr>
        <w:lastRenderedPageBreak/>
        <w:t xml:space="preserve">CHAPTER </w:t>
      </w:r>
      <w:r w:rsidR="005E0B40">
        <w:rPr>
          <w:rStyle w:val="Hyperlink"/>
          <w:b/>
        </w:rPr>
        <w:t>4</w:t>
      </w:r>
      <w:r w:rsidRPr="008A4886">
        <w:rPr>
          <w:rStyle w:val="Hyperlink"/>
        </w:rPr>
        <w:t xml:space="preserve"> </w:t>
      </w:r>
      <w:r w:rsidR="00E028E3">
        <w:rPr>
          <w:rStyle w:val="Hyperlink"/>
        </w:rPr>
        <w:t>— Definition of indistinct events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F72FFE" w14:paraId="37F2B352" w14:textId="77777777" w:rsidTr="00F72FFE">
        <w:trPr>
          <w:trHeight w:val="567"/>
        </w:trPr>
        <w:tc>
          <w:tcPr>
            <w:tcW w:w="14626" w:type="dxa"/>
            <w:gridSpan w:val="2"/>
            <w:tcBorders>
              <w:top w:val="single" w:sz="18" w:space="0" w:color="00A8E5" w:themeColor="accent1"/>
            </w:tcBorders>
            <w:shd w:val="clear" w:color="auto" w:fill="F6F6F6"/>
            <w:vAlign w:val="center"/>
          </w:tcPr>
          <w:p w14:paraId="40CA9CEB" w14:textId="064941B6" w:rsidR="00F72FFE" w:rsidRPr="00F72FFE" w:rsidRDefault="00744766" w:rsidP="00744766">
            <w:pPr>
              <w:pStyle w:val="AEMCTableBodyCopyNumbers"/>
              <w:numPr>
                <w:ilvl w:val="0"/>
                <w:numId w:val="0"/>
              </w:numPr>
              <w:ind w:left="284" w:hanging="284"/>
              <w:rPr>
                <w:rStyle w:val="Hyperlink"/>
                <w:b/>
              </w:rPr>
            </w:pPr>
            <w:r>
              <w:rPr>
                <w:rStyle w:val="Hyperlink"/>
                <w:b/>
              </w:rPr>
              <w:t xml:space="preserve">Question 2 </w:t>
            </w:r>
            <w:r w:rsidR="00C93582">
              <w:rPr>
                <w:rStyle w:val="Hyperlink"/>
                <w:b/>
              </w:rPr>
              <w:t>— Defining indistinct events</w:t>
            </w:r>
          </w:p>
        </w:tc>
      </w:tr>
      <w:tr w:rsidR="004E4060" w:rsidRPr="0000465F" w14:paraId="59E5C2F7" w14:textId="77777777" w:rsidTr="006055DC">
        <w:trPr>
          <w:trHeight w:val="1422"/>
        </w:trPr>
        <w:tc>
          <w:tcPr>
            <w:tcW w:w="4535" w:type="dxa"/>
            <w:tcBorders>
              <w:right w:val="single" w:sz="2" w:space="0" w:color="58595B" w:themeColor="accent4"/>
            </w:tcBorders>
            <w:shd w:val="clear" w:color="auto" w:fill="F6F6F6"/>
            <w:vAlign w:val="center"/>
          </w:tcPr>
          <w:p w14:paraId="74D6235B" w14:textId="2F0EA52F" w:rsidR="00A973E5" w:rsidRPr="00910D8F" w:rsidRDefault="00A973E5" w:rsidP="00910D8F">
            <w:pPr>
              <w:pStyle w:val="AEMCBodyCopyNumberedList01"/>
              <w:numPr>
                <w:ilvl w:val="0"/>
                <w:numId w:val="20"/>
              </w:numPr>
              <w:rPr>
                <w:rStyle w:val="Hyperlink"/>
                <w:rFonts w:ascii="DGCBO L+ Tahoma" w:hAnsi="DGCBO L+ Tahoma" w:cs="DGCBO L+ Tahoma"/>
                <w:color w:val="464646"/>
                <w:sz w:val="20"/>
                <w:szCs w:val="20"/>
                <w:lang w:val="en-AU"/>
              </w:rPr>
            </w:pPr>
            <w:r w:rsidRPr="00910D8F">
              <w:rPr>
                <w:lang w:val="en-AU"/>
              </w:rPr>
              <w:t>Is it necessary to create a definition of indistinct events in the rules?</w:t>
            </w:r>
          </w:p>
        </w:tc>
        <w:tc>
          <w:tcPr>
            <w:tcW w:w="10091" w:type="dxa"/>
            <w:tcBorders>
              <w:left w:val="single" w:sz="2" w:space="0" w:color="58595B" w:themeColor="accent4"/>
            </w:tcBorders>
            <w:vAlign w:val="center"/>
          </w:tcPr>
          <w:p w14:paraId="561760B4" w14:textId="77777777" w:rsidR="004E4060" w:rsidRPr="00785222" w:rsidRDefault="00712806" w:rsidP="00F72FFE">
            <w:pPr>
              <w:pStyle w:val="AEMCTableBodyCopy"/>
              <w:rPr>
                <w:rStyle w:val="Hyperlink"/>
              </w:rPr>
            </w:pPr>
            <w:r w:rsidRPr="00785222">
              <w:rPr>
                <w:rStyle w:val="Hyperlink"/>
              </w:rPr>
              <w:fldChar w:fldCharType="begin">
                <w:ffData>
                  <w:name w:val="Text8"/>
                  <w:enabled/>
                  <w:calcOnExit w:val="0"/>
                  <w:textInput/>
                </w:ffData>
              </w:fldChar>
            </w:r>
            <w:bookmarkStart w:id="6"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4E4060" w:rsidRPr="0000465F" w14:paraId="3DEA9E55" w14:textId="77777777" w:rsidTr="006055DC">
        <w:trPr>
          <w:trHeight w:val="1696"/>
        </w:trPr>
        <w:tc>
          <w:tcPr>
            <w:tcW w:w="4535" w:type="dxa"/>
            <w:tcBorders>
              <w:right w:val="single" w:sz="2" w:space="0" w:color="58595B" w:themeColor="accent4"/>
            </w:tcBorders>
            <w:shd w:val="clear" w:color="auto" w:fill="F6F6F6"/>
            <w:vAlign w:val="center"/>
          </w:tcPr>
          <w:p w14:paraId="770C0D03" w14:textId="77777777" w:rsidR="00A973E5" w:rsidRDefault="00A973E5" w:rsidP="00910D8F">
            <w:pPr>
              <w:pStyle w:val="AEMCBodyCopyNumberedList01"/>
              <w:rPr>
                <w:lang w:val="en-AU"/>
              </w:rPr>
            </w:pPr>
            <w:r w:rsidRPr="00A973E5">
              <w:rPr>
                <w:lang w:val="en-AU"/>
              </w:rPr>
              <w:t xml:space="preserve">Can stakeholders suggest any changes to the proposed definition </w:t>
            </w:r>
            <w:proofErr w:type="gramStart"/>
            <w:r w:rsidRPr="00A973E5">
              <w:rPr>
                <w:lang w:val="en-AU"/>
              </w:rPr>
              <w:t>to</w:t>
            </w:r>
            <w:r>
              <w:rPr>
                <w:lang w:val="en-AU"/>
              </w:rPr>
              <w:t>:</w:t>
            </w:r>
            <w:proofErr w:type="gramEnd"/>
          </w:p>
          <w:p w14:paraId="405BFD28" w14:textId="744786D2" w:rsidR="00A973E5" w:rsidRPr="00910D8F" w:rsidRDefault="00A973E5" w:rsidP="00910D8F">
            <w:pPr>
              <w:pStyle w:val="AEMCBodyCopyListBullets"/>
            </w:pPr>
            <w:r w:rsidRPr="00910D8F">
              <w:t xml:space="preserve">better describe indistinct </w:t>
            </w:r>
            <w:proofErr w:type="gramStart"/>
            <w:r w:rsidRPr="00910D8F">
              <w:t>events?</w:t>
            </w:r>
            <w:proofErr w:type="gramEnd"/>
          </w:p>
          <w:p w14:paraId="5E7554F2" w14:textId="0CBB5A39" w:rsidR="004E4060" w:rsidRPr="0000465F" w:rsidRDefault="00A973E5" w:rsidP="00910D8F">
            <w:pPr>
              <w:pStyle w:val="AEMCBodyCopyListBullets"/>
              <w:rPr>
                <w:rStyle w:val="Hyperlink"/>
              </w:rPr>
            </w:pPr>
            <w:r w:rsidRPr="00910D8F">
              <w:t>delineate between indistinct events and contingency events?</w:t>
            </w:r>
          </w:p>
        </w:tc>
        <w:tc>
          <w:tcPr>
            <w:tcW w:w="10091" w:type="dxa"/>
            <w:tcBorders>
              <w:left w:val="single" w:sz="2" w:space="0" w:color="58595B" w:themeColor="accent4"/>
            </w:tcBorders>
            <w:vAlign w:val="center"/>
          </w:tcPr>
          <w:p w14:paraId="5648B23C" w14:textId="77777777" w:rsidR="004E4060" w:rsidRPr="00785222" w:rsidRDefault="00712806" w:rsidP="00F72FFE">
            <w:pPr>
              <w:pStyle w:val="AEMCTableBodyCopy"/>
              <w:rPr>
                <w:rStyle w:val="Hyperlink"/>
              </w:rPr>
            </w:pPr>
            <w:r w:rsidRPr="00785222">
              <w:rPr>
                <w:rStyle w:val="Hyperlink"/>
              </w:rPr>
              <w:fldChar w:fldCharType="begin">
                <w:ffData>
                  <w:name w:val="Text9"/>
                  <w:enabled/>
                  <w:calcOnExit w:val="0"/>
                  <w:textInput/>
                </w:ffData>
              </w:fldChar>
            </w:r>
            <w:bookmarkStart w:id="7" w:name="Text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bl>
    <w:p w14:paraId="29FCE4BB" w14:textId="5D2802E5" w:rsidR="0015555C" w:rsidRDefault="00910D8F" w:rsidP="00910D8F">
      <w:pPr>
        <w:pStyle w:val="AEMCHeaderL4"/>
        <w:rPr>
          <w:rStyle w:val="Hyperlink"/>
        </w:rPr>
      </w:pPr>
      <w:r w:rsidRPr="008A4886">
        <w:rPr>
          <w:rStyle w:val="Hyperlink"/>
          <w:b/>
        </w:rPr>
        <w:t xml:space="preserve">CHAPTER </w:t>
      </w:r>
      <w:r>
        <w:rPr>
          <w:rStyle w:val="Hyperlink"/>
          <w:b/>
        </w:rPr>
        <w:t>5</w:t>
      </w:r>
      <w:r w:rsidRPr="008A4886">
        <w:rPr>
          <w:rStyle w:val="Hyperlink"/>
        </w:rPr>
        <w:t xml:space="preserve"> </w:t>
      </w:r>
      <w:r>
        <w:rPr>
          <w:rStyle w:val="Hyperlink"/>
        </w:rPr>
        <w:t xml:space="preserve">— </w:t>
      </w:r>
      <w:r w:rsidR="006139AF" w:rsidRPr="006139AF">
        <w:rPr>
          <w:rStyle w:val="Hyperlink"/>
        </w:rPr>
        <w:t>PROPOSED ARRANGEMENTS TO DETERMINE AND MANAGE INDISTINCT EVENTS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F72FFE" w14:paraId="012626B1" w14:textId="77777777" w:rsidTr="000E02A8">
        <w:trPr>
          <w:trHeight w:val="567"/>
        </w:trPr>
        <w:tc>
          <w:tcPr>
            <w:tcW w:w="14626" w:type="dxa"/>
            <w:gridSpan w:val="2"/>
            <w:tcBorders>
              <w:top w:val="single" w:sz="18" w:space="0" w:color="00A8E5" w:themeColor="accent1"/>
            </w:tcBorders>
            <w:shd w:val="clear" w:color="auto" w:fill="F6F6F6"/>
            <w:vAlign w:val="center"/>
          </w:tcPr>
          <w:p w14:paraId="0E08C2CF" w14:textId="16B660D1" w:rsidR="005E0B40" w:rsidRPr="00F72FFE" w:rsidRDefault="005E0B40" w:rsidP="000E02A8">
            <w:pPr>
              <w:pStyle w:val="AEMCTableBodyCopyNumbers"/>
              <w:numPr>
                <w:ilvl w:val="0"/>
                <w:numId w:val="0"/>
              </w:numPr>
              <w:ind w:left="284" w:hanging="284"/>
              <w:rPr>
                <w:rStyle w:val="Hyperlink"/>
                <w:b/>
              </w:rPr>
            </w:pPr>
            <w:r>
              <w:rPr>
                <w:rStyle w:val="Hyperlink"/>
                <w:b/>
              </w:rPr>
              <w:t xml:space="preserve">Question 3 – </w:t>
            </w:r>
            <w:r w:rsidR="006139AF">
              <w:rPr>
                <w:rStyle w:val="Hyperlink"/>
                <w:b/>
              </w:rPr>
              <w:t>P</w:t>
            </w:r>
            <w:r w:rsidR="006139AF" w:rsidRPr="006139AF">
              <w:rPr>
                <w:rStyle w:val="Hyperlink"/>
                <w:b/>
              </w:rPr>
              <w:t>roposed framework for managing standing indistinct events</w:t>
            </w:r>
          </w:p>
        </w:tc>
      </w:tr>
      <w:tr w:rsidR="005E0B40" w:rsidRPr="0000465F" w14:paraId="04684C0B" w14:textId="77777777" w:rsidTr="006055DC">
        <w:trPr>
          <w:trHeight w:val="1659"/>
        </w:trPr>
        <w:tc>
          <w:tcPr>
            <w:tcW w:w="4535" w:type="dxa"/>
            <w:tcBorders>
              <w:right w:val="single" w:sz="2" w:space="0" w:color="58595B" w:themeColor="accent4"/>
            </w:tcBorders>
            <w:shd w:val="clear" w:color="auto" w:fill="F6F6F6"/>
            <w:vAlign w:val="center"/>
          </w:tcPr>
          <w:p w14:paraId="2FA6FD37" w14:textId="0470E840" w:rsidR="005E0B40" w:rsidRPr="0000465F" w:rsidRDefault="00E12432" w:rsidP="00E12432">
            <w:pPr>
              <w:pStyle w:val="AEMCBodyCopyNumberedList01"/>
              <w:numPr>
                <w:ilvl w:val="0"/>
                <w:numId w:val="22"/>
              </w:numPr>
              <w:rPr>
                <w:rStyle w:val="Hyperlink"/>
              </w:rPr>
            </w:pPr>
            <w:r w:rsidRPr="00E12432">
              <w:rPr>
                <w:lang w:val="en-AU"/>
              </w:rPr>
              <w:t>Is it appropriate to deal with standing indistinct events using the existing protected events framework, or do standing indistinct events need to be managed using a new, separate process?</w:t>
            </w:r>
          </w:p>
        </w:tc>
        <w:tc>
          <w:tcPr>
            <w:tcW w:w="10091" w:type="dxa"/>
            <w:tcBorders>
              <w:left w:val="single" w:sz="2" w:space="0" w:color="58595B" w:themeColor="accent4"/>
            </w:tcBorders>
            <w:vAlign w:val="center"/>
          </w:tcPr>
          <w:p w14:paraId="344CE134" w14:textId="77777777" w:rsidR="005E0B40" w:rsidRPr="00785222" w:rsidRDefault="005E0B40" w:rsidP="000E02A8">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12432" w:rsidRPr="0000465F" w14:paraId="73CF5AB3" w14:textId="77777777" w:rsidTr="006055DC">
        <w:trPr>
          <w:trHeight w:val="1450"/>
        </w:trPr>
        <w:tc>
          <w:tcPr>
            <w:tcW w:w="4535" w:type="dxa"/>
            <w:tcBorders>
              <w:right w:val="single" w:sz="2" w:space="0" w:color="58595B" w:themeColor="accent4"/>
            </w:tcBorders>
            <w:shd w:val="clear" w:color="auto" w:fill="F6F6F6"/>
            <w:vAlign w:val="center"/>
          </w:tcPr>
          <w:p w14:paraId="07B69FA1" w14:textId="22346A1F" w:rsidR="00E12432" w:rsidRPr="00E12432" w:rsidRDefault="00A47EDB" w:rsidP="00E12432">
            <w:pPr>
              <w:pStyle w:val="AEMCBodyCopyNumberedList01"/>
              <w:numPr>
                <w:ilvl w:val="0"/>
                <w:numId w:val="22"/>
              </w:numPr>
              <w:rPr>
                <w:lang w:val="en-AU"/>
              </w:rPr>
            </w:pPr>
            <w:r>
              <w:rPr>
                <w:lang w:val="en-AU"/>
              </w:rPr>
              <w:t xml:space="preserve">If </w:t>
            </w:r>
            <w:r w:rsidRPr="00A47EDB">
              <w:rPr>
                <w:lang w:val="en-AU"/>
              </w:rPr>
              <w:t>a new process, what should this look like?</w:t>
            </w:r>
          </w:p>
        </w:tc>
        <w:tc>
          <w:tcPr>
            <w:tcW w:w="10091" w:type="dxa"/>
            <w:tcBorders>
              <w:left w:val="single" w:sz="2" w:space="0" w:color="58595B" w:themeColor="accent4"/>
            </w:tcBorders>
            <w:vAlign w:val="center"/>
          </w:tcPr>
          <w:p w14:paraId="0416A548" w14:textId="16CCB1D1" w:rsidR="00E12432" w:rsidRPr="00785222" w:rsidRDefault="00E12432" w:rsidP="00E12432">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72FFE" w:rsidRPr="0000465F" w14:paraId="747A0523" w14:textId="77777777" w:rsidTr="00F72FFE">
        <w:trPr>
          <w:trHeight w:val="567"/>
        </w:trPr>
        <w:tc>
          <w:tcPr>
            <w:tcW w:w="14626" w:type="dxa"/>
            <w:gridSpan w:val="2"/>
            <w:tcBorders>
              <w:top w:val="single" w:sz="18" w:space="0" w:color="00A8E5" w:themeColor="accent1"/>
            </w:tcBorders>
            <w:shd w:val="clear" w:color="auto" w:fill="F6F6F6"/>
            <w:vAlign w:val="center"/>
          </w:tcPr>
          <w:p w14:paraId="2844DA5E" w14:textId="1E953226" w:rsidR="00F72FFE" w:rsidRPr="00F72FFE" w:rsidRDefault="00E25A98" w:rsidP="00F72FFE">
            <w:pPr>
              <w:pStyle w:val="AEMCTableBodyCopy"/>
              <w:rPr>
                <w:rStyle w:val="Hyperlink"/>
                <w:b/>
              </w:rPr>
            </w:pPr>
            <w:r>
              <w:rPr>
                <w:rStyle w:val="Hyperlink"/>
                <w:b/>
              </w:rPr>
              <w:lastRenderedPageBreak/>
              <w:t xml:space="preserve">Question </w:t>
            </w:r>
            <w:r w:rsidR="005E0B40">
              <w:rPr>
                <w:rStyle w:val="Hyperlink"/>
                <w:b/>
              </w:rPr>
              <w:t>4</w:t>
            </w:r>
            <w:r>
              <w:rPr>
                <w:rStyle w:val="Hyperlink"/>
                <w:b/>
              </w:rPr>
              <w:t xml:space="preserve"> </w:t>
            </w:r>
            <w:r w:rsidR="00ED2188">
              <w:rPr>
                <w:rStyle w:val="Hyperlink"/>
                <w:b/>
              </w:rPr>
              <w:t>—</w:t>
            </w:r>
            <w:r>
              <w:rPr>
                <w:rStyle w:val="Hyperlink"/>
                <w:b/>
              </w:rPr>
              <w:t xml:space="preserve"> </w:t>
            </w:r>
            <w:r w:rsidR="00ED2188">
              <w:rPr>
                <w:rStyle w:val="Hyperlink"/>
                <w:b/>
              </w:rPr>
              <w:t>P</w:t>
            </w:r>
            <w:r w:rsidR="00ED2188" w:rsidRPr="00ED2188">
              <w:rPr>
                <w:rStyle w:val="Hyperlink"/>
                <w:b/>
              </w:rPr>
              <w:t>roposed protected operations framework for managing condition-dependent indistinct events</w:t>
            </w:r>
          </w:p>
        </w:tc>
      </w:tr>
      <w:tr w:rsidR="0015555C" w:rsidRPr="0000465F" w14:paraId="70E2CF58" w14:textId="77777777" w:rsidTr="00E248D7">
        <w:trPr>
          <w:trHeight w:val="1792"/>
        </w:trPr>
        <w:tc>
          <w:tcPr>
            <w:tcW w:w="4535" w:type="dxa"/>
            <w:tcBorders>
              <w:right w:val="single" w:sz="2" w:space="0" w:color="58595B" w:themeColor="accent4"/>
            </w:tcBorders>
            <w:shd w:val="clear" w:color="auto" w:fill="F6F6F6"/>
            <w:vAlign w:val="center"/>
          </w:tcPr>
          <w:p w14:paraId="08240A60" w14:textId="4D99D9DD" w:rsidR="0015555C" w:rsidRPr="0000465F" w:rsidRDefault="00ED2188" w:rsidP="0022081E">
            <w:pPr>
              <w:pStyle w:val="AEMCBodyCopyNumberedList01"/>
              <w:numPr>
                <w:ilvl w:val="0"/>
                <w:numId w:val="23"/>
              </w:numPr>
              <w:rPr>
                <w:rStyle w:val="Hyperlink"/>
              </w:rPr>
            </w:pPr>
            <w:r w:rsidRPr="00ED2188">
              <w:t>Do you support the proposed approach to protected operations?</w:t>
            </w:r>
          </w:p>
        </w:tc>
        <w:tc>
          <w:tcPr>
            <w:tcW w:w="10091" w:type="dxa"/>
            <w:tcBorders>
              <w:left w:val="single" w:sz="2" w:space="0" w:color="58595B" w:themeColor="accent4"/>
            </w:tcBorders>
            <w:vAlign w:val="center"/>
          </w:tcPr>
          <w:p w14:paraId="69AEC5B0" w14:textId="77777777" w:rsidR="0015555C" w:rsidRPr="00785222" w:rsidRDefault="00712806" w:rsidP="00F72FFE">
            <w:pPr>
              <w:pStyle w:val="AEMCTableBodyCopy"/>
              <w:rPr>
                <w:rStyle w:val="Hyperlink"/>
              </w:rPr>
            </w:pPr>
            <w:r w:rsidRPr="00785222">
              <w:rPr>
                <w:rStyle w:val="Hyperlink"/>
              </w:rPr>
              <w:fldChar w:fldCharType="begin">
                <w:ffData>
                  <w:name w:val="Text14"/>
                  <w:enabled/>
                  <w:calcOnExit w:val="0"/>
                  <w:textInput/>
                </w:ffData>
              </w:fldChar>
            </w:r>
            <w:bookmarkStart w:id="8"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783DA5B9" w14:textId="77777777" w:rsidTr="00E248D7">
        <w:trPr>
          <w:trHeight w:val="2541"/>
        </w:trPr>
        <w:tc>
          <w:tcPr>
            <w:tcW w:w="4535" w:type="dxa"/>
            <w:tcBorders>
              <w:right w:val="single" w:sz="2" w:space="0" w:color="58595B" w:themeColor="accent4"/>
            </w:tcBorders>
            <w:shd w:val="clear" w:color="auto" w:fill="F6F6F6"/>
            <w:vAlign w:val="center"/>
          </w:tcPr>
          <w:p w14:paraId="48395E13" w14:textId="17950261" w:rsidR="0015555C" w:rsidRPr="0000465F" w:rsidRDefault="00ED2188" w:rsidP="0022081E">
            <w:pPr>
              <w:pStyle w:val="AEMCBodyCopyNumberedList01"/>
              <w:rPr>
                <w:rStyle w:val="Hyperlink"/>
              </w:rPr>
            </w:pPr>
            <w:r>
              <w:t>Is the proposed protected operations framework likely to be effective in managing indistinct risks at an appropriate cost?</w:t>
            </w:r>
          </w:p>
        </w:tc>
        <w:tc>
          <w:tcPr>
            <w:tcW w:w="10091" w:type="dxa"/>
            <w:tcBorders>
              <w:left w:val="single" w:sz="2" w:space="0" w:color="58595B" w:themeColor="accent4"/>
            </w:tcBorders>
            <w:vAlign w:val="center"/>
          </w:tcPr>
          <w:p w14:paraId="5BDAE986" w14:textId="77777777" w:rsidR="0015555C" w:rsidRPr="00785222" w:rsidRDefault="00712806" w:rsidP="00F72FFE">
            <w:pPr>
              <w:pStyle w:val="AEMCTableBodyCopy"/>
              <w:rPr>
                <w:rStyle w:val="Hyperlink"/>
              </w:rPr>
            </w:pPr>
            <w:r w:rsidRPr="00785222">
              <w:rPr>
                <w:rStyle w:val="Hyperlink"/>
              </w:rPr>
              <w:fldChar w:fldCharType="begin">
                <w:ffData>
                  <w:name w:val="Text15"/>
                  <w:enabled/>
                  <w:calcOnExit w:val="0"/>
                  <w:textInput/>
                </w:ffData>
              </w:fldChar>
            </w:r>
            <w:bookmarkStart w:id="9"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ED2188" w:rsidRPr="0000465F" w14:paraId="2960E96F" w14:textId="77777777" w:rsidTr="00E248D7">
        <w:trPr>
          <w:trHeight w:val="2541"/>
        </w:trPr>
        <w:tc>
          <w:tcPr>
            <w:tcW w:w="4535" w:type="dxa"/>
            <w:tcBorders>
              <w:right w:val="single" w:sz="2" w:space="0" w:color="58595B" w:themeColor="accent4"/>
            </w:tcBorders>
            <w:shd w:val="clear" w:color="auto" w:fill="F6F6F6"/>
            <w:vAlign w:val="center"/>
          </w:tcPr>
          <w:p w14:paraId="2EBFF27F" w14:textId="28D64A54" w:rsidR="00ED2188" w:rsidRDefault="0022081E" w:rsidP="0022081E">
            <w:pPr>
              <w:pStyle w:val="AEMCBodyCopyNumberedList01"/>
            </w:pPr>
            <w:r>
              <w:t>Should the Rules specify a process that AEMO must follow to determine whether an event should be managed using the ad-hoc approach? If so, what should that process be?</w:t>
            </w:r>
          </w:p>
        </w:tc>
        <w:tc>
          <w:tcPr>
            <w:tcW w:w="10091" w:type="dxa"/>
            <w:tcBorders>
              <w:left w:val="single" w:sz="2" w:space="0" w:color="58595B" w:themeColor="accent4"/>
            </w:tcBorders>
            <w:vAlign w:val="center"/>
          </w:tcPr>
          <w:p w14:paraId="14C6CADB" w14:textId="7952C6D4" w:rsidR="00ED2188" w:rsidRPr="00785222" w:rsidRDefault="0022081E" w:rsidP="00F72FFE">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8147608" w14:textId="77777777" w:rsidR="00E248D7" w:rsidRDefault="00E248D7">
      <w:r>
        <w:br w:type="page"/>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00465F" w14:paraId="15577DD6" w14:textId="77777777" w:rsidTr="000E02A8">
        <w:trPr>
          <w:trHeight w:val="567"/>
        </w:trPr>
        <w:tc>
          <w:tcPr>
            <w:tcW w:w="14626" w:type="dxa"/>
            <w:gridSpan w:val="2"/>
            <w:tcBorders>
              <w:top w:val="single" w:sz="18" w:space="0" w:color="00A8E5" w:themeColor="accent1"/>
            </w:tcBorders>
            <w:shd w:val="clear" w:color="auto" w:fill="F6F6F6"/>
            <w:vAlign w:val="center"/>
          </w:tcPr>
          <w:p w14:paraId="1E03DD8F" w14:textId="0303139F" w:rsidR="005E0B40" w:rsidRPr="00F72FFE" w:rsidRDefault="005E0B40" w:rsidP="000E02A8">
            <w:pPr>
              <w:pStyle w:val="AEMCTableBodyCopy"/>
              <w:rPr>
                <w:rStyle w:val="Hyperlink"/>
                <w:b/>
              </w:rPr>
            </w:pPr>
            <w:r>
              <w:rPr>
                <w:rStyle w:val="Hyperlink"/>
                <w:b/>
              </w:rPr>
              <w:lastRenderedPageBreak/>
              <w:t xml:space="preserve">Question 5 </w:t>
            </w:r>
            <w:r w:rsidR="0022081E">
              <w:rPr>
                <w:rStyle w:val="Hyperlink"/>
                <w:b/>
              </w:rPr>
              <w:t>—</w:t>
            </w:r>
            <w:r>
              <w:rPr>
                <w:rStyle w:val="Hyperlink"/>
                <w:b/>
              </w:rPr>
              <w:t xml:space="preserve"> </w:t>
            </w:r>
            <w:r w:rsidR="0022081E">
              <w:rPr>
                <w:rStyle w:val="Hyperlink"/>
                <w:b/>
              </w:rPr>
              <w:t>G</w:t>
            </w:r>
            <w:r w:rsidR="0022081E" w:rsidRPr="0022081E">
              <w:rPr>
                <w:rStyle w:val="Hyperlink"/>
                <w:b/>
              </w:rPr>
              <w:t>eneral questions on the proposed framework for managing indistinct events</w:t>
            </w:r>
          </w:p>
        </w:tc>
      </w:tr>
      <w:tr w:rsidR="005E0B40" w:rsidRPr="0000465F" w14:paraId="36139C3F" w14:textId="77777777" w:rsidTr="00E248D7">
        <w:trPr>
          <w:trHeight w:val="2218"/>
        </w:trPr>
        <w:tc>
          <w:tcPr>
            <w:tcW w:w="4535" w:type="dxa"/>
            <w:tcBorders>
              <w:right w:val="single" w:sz="2" w:space="0" w:color="58595B" w:themeColor="accent4"/>
            </w:tcBorders>
            <w:shd w:val="clear" w:color="auto" w:fill="F6F6F6"/>
            <w:vAlign w:val="center"/>
          </w:tcPr>
          <w:p w14:paraId="588327C6" w14:textId="028D8E10" w:rsidR="005E0B40" w:rsidRPr="006055DC" w:rsidRDefault="009C4A70" w:rsidP="006055DC">
            <w:pPr>
              <w:pStyle w:val="AEMCBodyCopyNumberedList01"/>
              <w:numPr>
                <w:ilvl w:val="0"/>
                <w:numId w:val="29"/>
              </w:numPr>
            </w:pPr>
            <w:r>
              <w:t>Can stakeholders identify any significant emerging risks to power system security that would not be captured under the proposed framework?</w:t>
            </w:r>
          </w:p>
        </w:tc>
        <w:tc>
          <w:tcPr>
            <w:tcW w:w="10091" w:type="dxa"/>
            <w:tcBorders>
              <w:left w:val="single" w:sz="2" w:space="0" w:color="58595B" w:themeColor="accent4"/>
            </w:tcBorders>
            <w:vAlign w:val="center"/>
          </w:tcPr>
          <w:p w14:paraId="3A99B723" w14:textId="77777777" w:rsidR="005E0B40" w:rsidRPr="00785222" w:rsidRDefault="005E0B40" w:rsidP="000E02A8">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747464E4" w14:textId="77777777" w:rsidTr="00E248D7">
        <w:trPr>
          <w:trHeight w:val="2547"/>
        </w:trPr>
        <w:tc>
          <w:tcPr>
            <w:tcW w:w="4535" w:type="dxa"/>
            <w:tcBorders>
              <w:right w:val="single" w:sz="2" w:space="0" w:color="58595B" w:themeColor="accent4"/>
            </w:tcBorders>
            <w:shd w:val="clear" w:color="auto" w:fill="F6F6F6"/>
            <w:vAlign w:val="center"/>
          </w:tcPr>
          <w:p w14:paraId="295DF142" w14:textId="2D11B4B0" w:rsidR="005E0B40" w:rsidRPr="006055DC" w:rsidRDefault="009C4A70" w:rsidP="006055DC">
            <w:pPr>
              <w:pStyle w:val="AEMCBodyCopyNumberedList01"/>
              <w:numPr>
                <w:ilvl w:val="0"/>
                <w:numId w:val="23"/>
              </w:numPr>
            </w:pPr>
            <w:r w:rsidRPr="009C4A70">
              <w:t xml:space="preserve">Does the proposed framework provide AEMO with </w:t>
            </w:r>
            <w:proofErr w:type="gramStart"/>
            <w:r w:rsidRPr="009C4A70">
              <w:t>sufficient</w:t>
            </w:r>
            <w:proofErr w:type="gramEnd"/>
            <w:r w:rsidRPr="009C4A70">
              <w:t xml:space="preserve"> powers to manage protected events and protected operations once they are declared?</w:t>
            </w:r>
          </w:p>
        </w:tc>
        <w:tc>
          <w:tcPr>
            <w:tcW w:w="10091" w:type="dxa"/>
            <w:tcBorders>
              <w:left w:val="single" w:sz="2" w:space="0" w:color="58595B" w:themeColor="accent4"/>
            </w:tcBorders>
            <w:vAlign w:val="center"/>
          </w:tcPr>
          <w:p w14:paraId="13FD38B0" w14:textId="77777777" w:rsidR="005E0B40" w:rsidRPr="00785222" w:rsidRDefault="005E0B40"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C4A70" w:rsidRPr="0000465F" w14:paraId="6614F679" w14:textId="77777777" w:rsidTr="00E248D7">
        <w:trPr>
          <w:trHeight w:val="3544"/>
        </w:trPr>
        <w:tc>
          <w:tcPr>
            <w:tcW w:w="4535" w:type="dxa"/>
            <w:tcBorders>
              <w:right w:val="single" w:sz="2" w:space="0" w:color="58595B" w:themeColor="accent4"/>
            </w:tcBorders>
            <w:shd w:val="clear" w:color="auto" w:fill="F6F6F6"/>
            <w:vAlign w:val="center"/>
          </w:tcPr>
          <w:p w14:paraId="58462FC2" w14:textId="5E2D3BD8" w:rsidR="009C4A70" w:rsidRPr="006055DC" w:rsidRDefault="00F32B11" w:rsidP="006055DC">
            <w:pPr>
              <w:pStyle w:val="AEMCBodyCopyNumberedList01"/>
              <w:numPr>
                <w:ilvl w:val="0"/>
                <w:numId w:val="23"/>
              </w:numPr>
            </w:pPr>
            <w:r w:rsidRPr="006055DC">
              <w:t>Can stakeholders identify any duplication or overlap between the proposed framework and the existing credible contingency or protected events framework that may increase the complexity and/or cost of managing contingency events or indistinct events without delivering material security benefits?</w:t>
            </w:r>
          </w:p>
        </w:tc>
        <w:tc>
          <w:tcPr>
            <w:tcW w:w="10091" w:type="dxa"/>
            <w:tcBorders>
              <w:left w:val="single" w:sz="2" w:space="0" w:color="58595B" w:themeColor="accent4"/>
            </w:tcBorders>
            <w:vAlign w:val="center"/>
          </w:tcPr>
          <w:p w14:paraId="17A312CD" w14:textId="77777777" w:rsidR="009C4A70" w:rsidRPr="00785222" w:rsidRDefault="00F32B11"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3A511AF7" w14:textId="77777777" w:rsidTr="000E02A8">
        <w:trPr>
          <w:trHeight w:val="567"/>
        </w:trPr>
        <w:tc>
          <w:tcPr>
            <w:tcW w:w="14626" w:type="dxa"/>
            <w:gridSpan w:val="2"/>
            <w:tcBorders>
              <w:top w:val="single" w:sz="18" w:space="0" w:color="00A8E5" w:themeColor="accent1"/>
            </w:tcBorders>
            <w:shd w:val="clear" w:color="auto" w:fill="F6F6F6"/>
            <w:vAlign w:val="center"/>
          </w:tcPr>
          <w:p w14:paraId="553701E9" w14:textId="4AB0C756" w:rsidR="005E0B40" w:rsidRPr="00F72FFE" w:rsidRDefault="005E0B40" w:rsidP="000E02A8">
            <w:pPr>
              <w:pStyle w:val="AEMCTableBodyCopy"/>
              <w:rPr>
                <w:rStyle w:val="Hyperlink"/>
                <w:b/>
              </w:rPr>
            </w:pPr>
            <w:r>
              <w:rPr>
                <w:rStyle w:val="Hyperlink"/>
                <w:b/>
              </w:rPr>
              <w:lastRenderedPageBreak/>
              <w:t xml:space="preserve">Question </w:t>
            </w:r>
            <w:r w:rsidR="00D17ED4">
              <w:rPr>
                <w:rStyle w:val="Hyperlink"/>
                <w:b/>
              </w:rPr>
              <w:t>6</w:t>
            </w:r>
            <w:r>
              <w:rPr>
                <w:rStyle w:val="Hyperlink"/>
                <w:b/>
              </w:rPr>
              <w:t xml:space="preserve"> </w:t>
            </w:r>
            <w:r w:rsidR="00F32B11">
              <w:rPr>
                <w:rStyle w:val="Hyperlink"/>
                <w:b/>
              </w:rPr>
              <w:t xml:space="preserve">— </w:t>
            </w:r>
            <w:r w:rsidR="00D67D1D">
              <w:rPr>
                <w:rStyle w:val="Hyperlink"/>
                <w:b/>
              </w:rPr>
              <w:t>C</w:t>
            </w:r>
            <w:r w:rsidR="00F32B11" w:rsidRPr="00F32B11">
              <w:rPr>
                <w:rStyle w:val="Hyperlink"/>
                <w:b/>
              </w:rPr>
              <w:t>onsultation arrangements for protected operation and reclassification</w:t>
            </w:r>
          </w:p>
        </w:tc>
      </w:tr>
      <w:tr w:rsidR="005E0B40" w:rsidRPr="0000465F" w14:paraId="26308162" w14:textId="77777777" w:rsidTr="000E02A8">
        <w:trPr>
          <w:trHeight w:val="1701"/>
        </w:trPr>
        <w:tc>
          <w:tcPr>
            <w:tcW w:w="4535" w:type="dxa"/>
            <w:tcBorders>
              <w:right w:val="single" w:sz="2" w:space="0" w:color="58595B" w:themeColor="accent4"/>
            </w:tcBorders>
            <w:shd w:val="clear" w:color="auto" w:fill="F6F6F6"/>
            <w:vAlign w:val="center"/>
          </w:tcPr>
          <w:p w14:paraId="54844EF8" w14:textId="642927EB" w:rsidR="005E0B40" w:rsidRPr="006055DC" w:rsidRDefault="00561588" w:rsidP="006055DC">
            <w:pPr>
              <w:pStyle w:val="AEMCBodyCopyNumberedList01"/>
              <w:numPr>
                <w:ilvl w:val="0"/>
                <w:numId w:val="32"/>
              </w:numPr>
            </w:pPr>
            <w:r w:rsidRPr="00561588">
              <w:t xml:space="preserve">Are the proposed consultation arrangements </w:t>
            </w:r>
            <w:proofErr w:type="gramStart"/>
            <w:r w:rsidRPr="00561588">
              <w:t>sufficient</w:t>
            </w:r>
            <w:proofErr w:type="gramEnd"/>
            <w:r w:rsidRPr="00561588">
              <w:t xml:space="preserve"> to provide stakeholders with confidence in AEMO’s use of protected operations and reclassification powers?</w:t>
            </w:r>
          </w:p>
        </w:tc>
        <w:tc>
          <w:tcPr>
            <w:tcW w:w="10091" w:type="dxa"/>
            <w:tcBorders>
              <w:left w:val="single" w:sz="2" w:space="0" w:color="58595B" w:themeColor="accent4"/>
            </w:tcBorders>
            <w:vAlign w:val="center"/>
          </w:tcPr>
          <w:p w14:paraId="72D666BE" w14:textId="77777777" w:rsidR="005E0B40" w:rsidRPr="00785222" w:rsidRDefault="005E0B40" w:rsidP="000E02A8">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189929D0" w14:textId="77777777" w:rsidTr="00E248D7">
        <w:trPr>
          <w:trHeight w:val="1645"/>
        </w:trPr>
        <w:tc>
          <w:tcPr>
            <w:tcW w:w="4535" w:type="dxa"/>
            <w:tcBorders>
              <w:right w:val="single" w:sz="2" w:space="0" w:color="58595B" w:themeColor="accent4"/>
            </w:tcBorders>
            <w:shd w:val="clear" w:color="auto" w:fill="F6F6F6"/>
            <w:vAlign w:val="center"/>
          </w:tcPr>
          <w:p w14:paraId="2DE057E8" w14:textId="41610FD6" w:rsidR="005E0B40" w:rsidRPr="006055DC" w:rsidRDefault="00561588" w:rsidP="006055DC">
            <w:pPr>
              <w:pStyle w:val="AEMCBodyCopyNumberedList01"/>
              <w:numPr>
                <w:ilvl w:val="0"/>
                <w:numId w:val="23"/>
              </w:numPr>
            </w:pPr>
            <w:r w:rsidRPr="00561588">
              <w:t>Are the consultation obligations imposed on AEMO proportionate to the benefits?</w:t>
            </w:r>
          </w:p>
        </w:tc>
        <w:tc>
          <w:tcPr>
            <w:tcW w:w="10091" w:type="dxa"/>
            <w:tcBorders>
              <w:left w:val="single" w:sz="2" w:space="0" w:color="58595B" w:themeColor="accent4"/>
            </w:tcBorders>
            <w:vAlign w:val="center"/>
          </w:tcPr>
          <w:p w14:paraId="129927D1" w14:textId="77777777" w:rsidR="005E0B40" w:rsidRPr="00785222" w:rsidRDefault="005E0B40"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23363A19" w14:textId="77777777" w:rsidTr="00536F09">
        <w:trPr>
          <w:trHeight w:val="567"/>
        </w:trPr>
        <w:tc>
          <w:tcPr>
            <w:tcW w:w="14626" w:type="dxa"/>
            <w:gridSpan w:val="2"/>
            <w:tcBorders>
              <w:top w:val="single" w:sz="18" w:space="0" w:color="00A8E5" w:themeColor="accent1"/>
            </w:tcBorders>
            <w:shd w:val="clear" w:color="auto" w:fill="F6F6F6"/>
            <w:vAlign w:val="center"/>
          </w:tcPr>
          <w:p w14:paraId="448AFDC5" w14:textId="202B2E30" w:rsidR="00D67D1D" w:rsidRPr="00F72FFE" w:rsidRDefault="00D67D1D" w:rsidP="00536F09">
            <w:pPr>
              <w:pStyle w:val="AEMCTableBodyCopy"/>
              <w:rPr>
                <w:rStyle w:val="Hyperlink"/>
                <w:b/>
              </w:rPr>
            </w:pPr>
            <w:r>
              <w:rPr>
                <w:rStyle w:val="Hyperlink"/>
                <w:b/>
              </w:rPr>
              <w:t>Question 7 — Options for implementation</w:t>
            </w:r>
          </w:p>
        </w:tc>
      </w:tr>
      <w:tr w:rsidR="00D67D1D" w:rsidRPr="0000465F" w14:paraId="06960F0F" w14:textId="77777777" w:rsidTr="00E248D7">
        <w:trPr>
          <w:trHeight w:val="2215"/>
        </w:trPr>
        <w:tc>
          <w:tcPr>
            <w:tcW w:w="4535" w:type="dxa"/>
            <w:tcBorders>
              <w:right w:val="single" w:sz="2" w:space="0" w:color="58595B" w:themeColor="accent4"/>
            </w:tcBorders>
            <w:shd w:val="clear" w:color="auto" w:fill="F6F6F6"/>
            <w:vAlign w:val="center"/>
          </w:tcPr>
          <w:p w14:paraId="725F8827" w14:textId="16593D22" w:rsidR="00D67D1D" w:rsidRPr="006055DC" w:rsidRDefault="00D67D1D" w:rsidP="006055DC">
            <w:pPr>
              <w:pStyle w:val="AEMCBodyCopyNumberedList01"/>
              <w:numPr>
                <w:ilvl w:val="0"/>
                <w:numId w:val="34"/>
              </w:numPr>
            </w:pPr>
            <w:r w:rsidRPr="00D67D1D">
              <w:t>To implement the proposed rule, should the AEMC follow a parallel process (Option A) or change the definition of contingency event (Option B)?</w:t>
            </w:r>
          </w:p>
        </w:tc>
        <w:tc>
          <w:tcPr>
            <w:tcW w:w="10091" w:type="dxa"/>
            <w:tcBorders>
              <w:left w:val="single" w:sz="2" w:space="0" w:color="58595B" w:themeColor="accent4"/>
            </w:tcBorders>
            <w:vAlign w:val="center"/>
          </w:tcPr>
          <w:p w14:paraId="55F72D6A" w14:textId="77777777" w:rsidR="00D67D1D" w:rsidRPr="00785222" w:rsidRDefault="00D67D1D" w:rsidP="00536F09">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6719DD4E" w14:textId="77777777" w:rsidTr="00E248D7">
        <w:trPr>
          <w:trHeight w:val="1991"/>
        </w:trPr>
        <w:tc>
          <w:tcPr>
            <w:tcW w:w="4535" w:type="dxa"/>
            <w:tcBorders>
              <w:right w:val="single" w:sz="2" w:space="0" w:color="58595B" w:themeColor="accent4"/>
            </w:tcBorders>
            <w:shd w:val="clear" w:color="auto" w:fill="F6F6F6"/>
            <w:vAlign w:val="center"/>
          </w:tcPr>
          <w:p w14:paraId="45CC53DE" w14:textId="7154898C" w:rsidR="00D67D1D" w:rsidRPr="006055DC" w:rsidRDefault="00D67D1D" w:rsidP="006055DC">
            <w:pPr>
              <w:pStyle w:val="AEMCBodyCopyNumberedList01"/>
              <w:numPr>
                <w:ilvl w:val="0"/>
                <w:numId w:val="23"/>
              </w:numPr>
            </w:pPr>
            <w:r w:rsidRPr="00D67D1D">
              <w:t>Are the governance and accountability requirements under Option B appropriate?</w:t>
            </w:r>
          </w:p>
        </w:tc>
        <w:tc>
          <w:tcPr>
            <w:tcW w:w="10091" w:type="dxa"/>
            <w:tcBorders>
              <w:left w:val="single" w:sz="2" w:space="0" w:color="58595B" w:themeColor="accent4"/>
            </w:tcBorders>
            <w:vAlign w:val="center"/>
          </w:tcPr>
          <w:p w14:paraId="4ABA45F0" w14:textId="77777777" w:rsidR="00D67D1D" w:rsidRPr="00785222" w:rsidRDefault="00D67D1D" w:rsidP="00536F09">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5767EAA" w14:textId="73E38E42" w:rsidR="00D67D1D" w:rsidRDefault="00D67D1D" w:rsidP="00D67D1D">
      <w:pPr>
        <w:pStyle w:val="AEMCHeaderL4"/>
        <w:rPr>
          <w:rStyle w:val="Hyperlink"/>
        </w:rPr>
      </w:pPr>
      <w:r w:rsidRPr="008A4886">
        <w:rPr>
          <w:rStyle w:val="Hyperlink"/>
          <w:b/>
        </w:rPr>
        <w:lastRenderedPageBreak/>
        <w:t xml:space="preserve">CHAPTER </w:t>
      </w:r>
      <w:r>
        <w:rPr>
          <w:rStyle w:val="Hyperlink"/>
          <w:b/>
        </w:rPr>
        <w:t>6</w:t>
      </w:r>
      <w:r w:rsidRPr="008A4886">
        <w:rPr>
          <w:rStyle w:val="Hyperlink"/>
        </w:rPr>
        <w:t xml:space="preserve"> </w:t>
      </w:r>
      <w:r>
        <w:rPr>
          <w:rStyle w:val="Hyperlink"/>
        </w:rPr>
        <w:t xml:space="preserve">— </w:t>
      </w:r>
      <w:r w:rsidR="00A97322" w:rsidRPr="00A97322">
        <w:rPr>
          <w:rStyle w:val="Hyperlink"/>
        </w:rPr>
        <w:t>GOVERNANCE, RESPONSIBILITIES AND</w:t>
      </w:r>
      <w:r w:rsidR="00A97322">
        <w:rPr>
          <w:rStyle w:val="Hyperlink"/>
        </w:rPr>
        <w:t xml:space="preserve"> Enforcement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D67D1D" w:rsidRPr="00F72FFE" w14:paraId="6C549813" w14:textId="77777777" w:rsidTr="00536F09">
        <w:trPr>
          <w:trHeight w:val="567"/>
        </w:trPr>
        <w:tc>
          <w:tcPr>
            <w:tcW w:w="14626" w:type="dxa"/>
            <w:gridSpan w:val="2"/>
            <w:tcBorders>
              <w:top w:val="single" w:sz="18" w:space="0" w:color="00A8E5" w:themeColor="accent1"/>
            </w:tcBorders>
            <w:shd w:val="clear" w:color="auto" w:fill="F6F6F6"/>
            <w:vAlign w:val="center"/>
          </w:tcPr>
          <w:p w14:paraId="2DE604D8" w14:textId="147C657A" w:rsidR="00D67D1D" w:rsidRPr="00F72FFE" w:rsidRDefault="00D67D1D" w:rsidP="00536F09">
            <w:pPr>
              <w:pStyle w:val="AEMCTableBodyCopyNumbers"/>
              <w:numPr>
                <w:ilvl w:val="0"/>
                <w:numId w:val="0"/>
              </w:numPr>
              <w:ind w:left="284" w:hanging="284"/>
              <w:rPr>
                <w:rStyle w:val="Hyperlink"/>
                <w:b/>
              </w:rPr>
            </w:pPr>
            <w:r>
              <w:rPr>
                <w:rStyle w:val="Hyperlink"/>
                <w:b/>
              </w:rPr>
              <w:t xml:space="preserve">Question </w:t>
            </w:r>
            <w:r w:rsidR="00A97322">
              <w:rPr>
                <w:rStyle w:val="Hyperlink"/>
                <w:b/>
              </w:rPr>
              <w:t>8</w:t>
            </w:r>
            <w:r>
              <w:rPr>
                <w:rStyle w:val="Hyperlink"/>
                <w:b/>
              </w:rPr>
              <w:t xml:space="preserve"> </w:t>
            </w:r>
            <w:r w:rsidR="00A97322">
              <w:rPr>
                <w:rStyle w:val="Hyperlink"/>
                <w:b/>
              </w:rPr>
              <w:t>— AEMO responsibilities</w:t>
            </w:r>
          </w:p>
        </w:tc>
      </w:tr>
      <w:tr w:rsidR="00D67D1D" w:rsidRPr="0000465F" w14:paraId="5912BA65" w14:textId="77777777" w:rsidTr="00E248D7">
        <w:trPr>
          <w:trHeight w:val="1429"/>
        </w:trPr>
        <w:tc>
          <w:tcPr>
            <w:tcW w:w="4535" w:type="dxa"/>
            <w:tcBorders>
              <w:right w:val="single" w:sz="2" w:space="0" w:color="58595B" w:themeColor="accent4"/>
            </w:tcBorders>
            <w:shd w:val="clear" w:color="auto" w:fill="F6F6F6"/>
            <w:vAlign w:val="center"/>
          </w:tcPr>
          <w:p w14:paraId="045B074B" w14:textId="671348A6" w:rsidR="00D67D1D" w:rsidRPr="006055DC" w:rsidRDefault="00024744" w:rsidP="006055DC">
            <w:pPr>
              <w:pStyle w:val="AEMCBodyCopyNumberedList01"/>
              <w:numPr>
                <w:ilvl w:val="0"/>
                <w:numId w:val="36"/>
              </w:numPr>
            </w:pPr>
            <w:r w:rsidRPr="006055DC">
              <w:t>Do stakeholders support AEMO’s proposed responsibilities?</w:t>
            </w:r>
          </w:p>
        </w:tc>
        <w:tc>
          <w:tcPr>
            <w:tcW w:w="10091" w:type="dxa"/>
            <w:tcBorders>
              <w:left w:val="single" w:sz="2" w:space="0" w:color="58595B" w:themeColor="accent4"/>
            </w:tcBorders>
            <w:vAlign w:val="center"/>
          </w:tcPr>
          <w:p w14:paraId="33337B6C" w14:textId="77777777" w:rsidR="00D67D1D" w:rsidRPr="00785222" w:rsidRDefault="00D67D1D"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35406242" w14:textId="77777777" w:rsidTr="00E248D7">
        <w:trPr>
          <w:trHeight w:val="1843"/>
        </w:trPr>
        <w:tc>
          <w:tcPr>
            <w:tcW w:w="4535" w:type="dxa"/>
            <w:tcBorders>
              <w:right w:val="single" w:sz="2" w:space="0" w:color="58595B" w:themeColor="accent4"/>
            </w:tcBorders>
            <w:shd w:val="clear" w:color="auto" w:fill="F6F6F6"/>
            <w:vAlign w:val="center"/>
          </w:tcPr>
          <w:p w14:paraId="3E859E91" w14:textId="5BDDCD21" w:rsidR="00D67D1D" w:rsidRPr="006055DC" w:rsidRDefault="00024744" w:rsidP="006055DC">
            <w:pPr>
              <w:pStyle w:val="AEMCBodyCopyNumberedList01"/>
              <w:numPr>
                <w:ilvl w:val="0"/>
                <w:numId w:val="23"/>
              </w:numPr>
            </w:pPr>
            <w:r w:rsidRPr="006055DC">
              <w:t xml:space="preserve">Do parties consider that AEMO would have </w:t>
            </w:r>
            <w:proofErr w:type="gramStart"/>
            <w:r w:rsidRPr="006055DC">
              <w:t>sufficient</w:t>
            </w:r>
            <w:proofErr w:type="gramEnd"/>
            <w:r w:rsidRPr="006055DC">
              <w:t xml:space="preserve"> powers and accountability to efficiently and effectively manage indistinct events under the proposed rule?</w:t>
            </w:r>
          </w:p>
        </w:tc>
        <w:tc>
          <w:tcPr>
            <w:tcW w:w="10091" w:type="dxa"/>
            <w:tcBorders>
              <w:left w:val="single" w:sz="2" w:space="0" w:color="58595B" w:themeColor="accent4"/>
            </w:tcBorders>
            <w:vAlign w:val="center"/>
          </w:tcPr>
          <w:p w14:paraId="2720ED67" w14:textId="77777777" w:rsidR="00D67D1D" w:rsidRPr="00785222" w:rsidRDefault="00D67D1D"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006DDC68" w14:textId="77777777" w:rsidTr="00536F09">
        <w:trPr>
          <w:trHeight w:val="567"/>
        </w:trPr>
        <w:tc>
          <w:tcPr>
            <w:tcW w:w="14626" w:type="dxa"/>
            <w:gridSpan w:val="2"/>
            <w:tcBorders>
              <w:top w:val="single" w:sz="18" w:space="0" w:color="00A8E5" w:themeColor="accent1"/>
            </w:tcBorders>
            <w:shd w:val="clear" w:color="auto" w:fill="F6F6F6"/>
            <w:vAlign w:val="center"/>
          </w:tcPr>
          <w:p w14:paraId="1AAD2B96" w14:textId="311D47F3" w:rsidR="00D67D1D" w:rsidRPr="00F72FFE" w:rsidRDefault="00D67D1D" w:rsidP="00536F09">
            <w:pPr>
              <w:pStyle w:val="AEMCTableBodyCopy"/>
              <w:rPr>
                <w:rStyle w:val="Hyperlink"/>
                <w:b/>
              </w:rPr>
            </w:pPr>
            <w:r>
              <w:rPr>
                <w:rStyle w:val="Hyperlink"/>
                <w:b/>
              </w:rPr>
              <w:t xml:space="preserve">Question </w:t>
            </w:r>
            <w:r w:rsidR="00024744">
              <w:rPr>
                <w:rStyle w:val="Hyperlink"/>
                <w:b/>
              </w:rPr>
              <w:t>9</w:t>
            </w:r>
            <w:r>
              <w:rPr>
                <w:rStyle w:val="Hyperlink"/>
                <w:b/>
              </w:rPr>
              <w:t xml:space="preserve"> — </w:t>
            </w:r>
            <w:r w:rsidR="00024744">
              <w:rPr>
                <w:rStyle w:val="Hyperlink"/>
                <w:b/>
              </w:rPr>
              <w:t>Reliability Panel responsibilites</w:t>
            </w:r>
          </w:p>
        </w:tc>
      </w:tr>
      <w:tr w:rsidR="00D67D1D" w:rsidRPr="0000465F" w14:paraId="584491B7" w14:textId="77777777" w:rsidTr="00E248D7">
        <w:trPr>
          <w:trHeight w:val="1933"/>
        </w:trPr>
        <w:tc>
          <w:tcPr>
            <w:tcW w:w="4535" w:type="dxa"/>
            <w:tcBorders>
              <w:right w:val="single" w:sz="2" w:space="0" w:color="58595B" w:themeColor="accent4"/>
            </w:tcBorders>
            <w:shd w:val="clear" w:color="auto" w:fill="F6F6F6"/>
            <w:vAlign w:val="center"/>
          </w:tcPr>
          <w:p w14:paraId="11AD3D21" w14:textId="35EA7956" w:rsidR="00D67D1D" w:rsidRPr="0000465F" w:rsidRDefault="00D67D1D" w:rsidP="006055DC">
            <w:pPr>
              <w:pStyle w:val="AEMCBodyCopyNumberedList01"/>
              <w:numPr>
                <w:ilvl w:val="0"/>
                <w:numId w:val="37"/>
              </w:numPr>
              <w:rPr>
                <w:rStyle w:val="Hyperlink"/>
              </w:rPr>
            </w:pPr>
            <w:r w:rsidRPr="00ED2188">
              <w:t xml:space="preserve">Do you support the </w:t>
            </w:r>
            <w:r w:rsidR="00BD74EB" w:rsidRPr="00BD74EB">
              <w:t>the Reliability Panel’s proposed responsibilities?</w:t>
            </w:r>
          </w:p>
        </w:tc>
        <w:tc>
          <w:tcPr>
            <w:tcW w:w="10091" w:type="dxa"/>
            <w:tcBorders>
              <w:left w:val="single" w:sz="2" w:space="0" w:color="58595B" w:themeColor="accent4"/>
            </w:tcBorders>
            <w:vAlign w:val="center"/>
          </w:tcPr>
          <w:p w14:paraId="3E0EC912" w14:textId="77777777" w:rsidR="00D67D1D" w:rsidRPr="00785222" w:rsidRDefault="00D67D1D" w:rsidP="00536F09">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31348CC" w14:textId="77777777" w:rsidR="00271022" w:rsidRDefault="00271022">
      <w:r>
        <w:br w:type="page"/>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D67D1D" w:rsidRPr="0000465F" w14:paraId="34048E48" w14:textId="77777777" w:rsidTr="00536F09">
        <w:trPr>
          <w:trHeight w:val="567"/>
        </w:trPr>
        <w:tc>
          <w:tcPr>
            <w:tcW w:w="14626" w:type="dxa"/>
            <w:gridSpan w:val="2"/>
            <w:tcBorders>
              <w:top w:val="single" w:sz="18" w:space="0" w:color="00A8E5" w:themeColor="accent1"/>
            </w:tcBorders>
            <w:shd w:val="clear" w:color="auto" w:fill="F6F6F6"/>
            <w:vAlign w:val="center"/>
          </w:tcPr>
          <w:p w14:paraId="1DA73E0F" w14:textId="30E9C40F" w:rsidR="00D67D1D" w:rsidRPr="00F72FFE" w:rsidRDefault="00D67D1D" w:rsidP="00536F09">
            <w:pPr>
              <w:pStyle w:val="AEMCTableBodyCopy"/>
              <w:rPr>
                <w:rStyle w:val="Hyperlink"/>
                <w:b/>
              </w:rPr>
            </w:pPr>
            <w:r>
              <w:rPr>
                <w:rStyle w:val="Hyperlink"/>
                <w:b/>
              </w:rPr>
              <w:lastRenderedPageBreak/>
              <w:t xml:space="preserve">Question </w:t>
            </w:r>
            <w:r w:rsidR="00BD74EB">
              <w:rPr>
                <w:rStyle w:val="Hyperlink"/>
                <w:b/>
              </w:rPr>
              <w:t>10</w:t>
            </w:r>
            <w:r>
              <w:rPr>
                <w:rStyle w:val="Hyperlink"/>
                <w:b/>
              </w:rPr>
              <w:t xml:space="preserve"> — </w:t>
            </w:r>
            <w:r w:rsidR="00BD74EB">
              <w:rPr>
                <w:rStyle w:val="Hyperlink"/>
                <w:b/>
              </w:rPr>
              <w:t>P</w:t>
            </w:r>
            <w:r w:rsidR="00BD74EB" w:rsidRPr="00BD74EB">
              <w:rPr>
                <w:rStyle w:val="Hyperlink"/>
                <w:b/>
              </w:rPr>
              <w:t>roposed expedited approval process</w:t>
            </w:r>
          </w:p>
        </w:tc>
      </w:tr>
      <w:tr w:rsidR="00D67D1D" w:rsidRPr="0000465F" w14:paraId="4C090A04" w14:textId="77777777" w:rsidTr="0003557A">
        <w:trPr>
          <w:trHeight w:val="2225"/>
        </w:trPr>
        <w:tc>
          <w:tcPr>
            <w:tcW w:w="4535" w:type="dxa"/>
            <w:tcBorders>
              <w:right w:val="single" w:sz="2" w:space="0" w:color="58595B" w:themeColor="accent4"/>
            </w:tcBorders>
            <w:shd w:val="clear" w:color="auto" w:fill="F6F6F6"/>
            <w:vAlign w:val="center"/>
          </w:tcPr>
          <w:p w14:paraId="2DD328EA" w14:textId="72451411" w:rsidR="00D67D1D" w:rsidRPr="006055DC" w:rsidRDefault="0029452D" w:rsidP="006055DC">
            <w:pPr>
              <w:pStyle w:val="AEMCBodyCopyNumberedList01"/>
              <w:numPr>
                <w:ilvl w:val="0"/>
                <w:numId w:val="39"/>
              </w:numPr>
            </w:pPr>
            <w:r>
              <w:t>What is the most appropriate way for the Reliability Panel to determine whether an application to declare a proposed protected event as straightforward and non-controversial?</w:t>
            </w:r>
          </w:p>
        </w:tc>
        <w:tc>
          <w:tcPr>
            <w:tcW w:w="10091" w:type="dxa"/>
            <w:tcBorders>
              <w:left w:val="single" w:sz="2" w:space="0" w:color="58595B" w:themeColor="accent4"/>
            </w:tcBorders>
            <w:vAlign w:val="center"/>
          </w:tcPr>
          <w:p w14:paraId="18D55ACC" w14:textId="77777777" w:rsidR="00D67D1D" w:rsidRPr="00785222" w:rsidRDefault="00D67D1D" w:rsidP="00536F09">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17BE536A" w14:textId="77777777" w:rsidTr="0003557A">
        <w:trPr>
          <w:trHeight w:val="2117"/>
        </w:trPr>
        <w:tc>
          <w:tcPr>
            <w:tcW w:w="4535" w:type="dxa"/>
            <w:tcBorders>
              <w:right w:val="single" w:sz="2" w:space="0" w:color="58595B" w:themeColor="accent4"/>
            </w:tcBorders>
            <w:shd w:val="clear" w:color="auto" w:fill="F6F6F6"/>
            <w:vAlign w:val="center"/>
          </w:tcPr>
          <w:p w14:paraId="11D2275A" w14:textId="08F1386B" w:rsidR="00D67D1D" w:rsidRPr="006055DC" w:rsidRDefault="0029452D" w:rsidP="006055DC">
            <w:pPr>
              <w:pStyle w:val="AEMCBodyCopyNumberedList01"/>
              <w:numPr>
                <w:ilvl w:val="0"/>
                <w:numId w:val="37"/>
              </w:numPr>
            </w:pPr>
            <w:r w:rsidRPr="0029452D">
              <w:t xml:space="preserve">Should criteria for defining whether a proposal is non-controversial be developed? </w:t>
            </w:r>
          </w:p>
        </w:tc>
        <w:tc>
          <w:tcPr>
            <w:tcW w:w="10091" w:type="dxa"/>
            <w:tcBorders>
              <w:left w:val="single" w:sz="2" w:space="0" w:color="58595B" w:themeColor="accent4"/>
            </w:tcBorders>
            <w:vAlign w:val="center"/>
          </w:tcPr>
          <w:p w14:paraId="463C70C0" w14:textId="77777777" w:rsidR="00D67D1D" w:rsidRPr="00785222" w:rsidRDefault="00D67D1D" w:rsidP="00536F09">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67D1D" w:rsidRPr="0000465F" w14:paraId="50BBBBE4" w14:textId="77777777" w:rsidTr="0003557A">
        <w:trPr>
          <w:trHeight w:val="2258"/>
        </w:trPr>
        <w:tc>
          <w:tcPr>
            <w:tcW w:w="4535" w:type="dxa"/>
            <w:tcBorders>
              <w:right w:val="single" w:sz="2" w:space="0" w:color="58595B" w:themeColor="accent4"/>
            </w:tcBorders>
            <w:shd w:val="clear" w:color="auto" w:fill="F6F6F6"/>
            <w:vAlign w:val="center"/>
          </w:tcPr>
          <w:p w14:paraId="7B92BEEE" w14:textId="1E1C7073" w:rsidR="00D67D1D" w:rsidRPr="006055DC" w:rsidRDefault="0029452D" w:rsidP="006055DC">
            <w:pPr>
              <w:pStyle w:val="AEMCBodyCopyNumberedList01"/>
              <w:numPr>
                <w:ilvl w:val="0"/>
                <w:numId w:val="37"/>
              </w:numPr>
            </w:pPr>
            <w:r w:rsidRPr="0029452D">
              <w:t>Is the proposed approach likely to be an effective way of streamlining the protected events approval process?</w:t>
            </w:r>
          </w:p>
        </w:tc>
        <w:tc>
          <w:tcPr>
            <w:tcW w:w="10091" w:type="dxa"/>
            <w:tcBorders>
              <w:left w:val="single" w:sz="2" w:space="0" w:color="58595B" w:themeColor="accent4"/>
            </w:tcBorders>
            <w:vAlign w:val="center"/>
          </w:tcPr>
          <w:p w14:paraId="47B39DDB" w14:textId="77777777" w:rsidR="00D67D1D" w:rsidRPr="00785222" w:rsidRDefault="00D67D1D" w:rsidP="00536F09">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9553B5F" w14:textId="77777777" w:rsidR="0003557A" w:rsidRDefault="0003557A">
      <w:r>
        <w:br w:type="page"/>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29452D" w:rsidRPr="00F72FFE" w14:paraId="141058B0" w14:textId="77777777" w:rsidTr="00536F09">
        <w:trPr>
          <w:trHeight w:val="567"/>
        </w:trPr>
        <w:tc>
          <w:tcPr>
            <w:tcW w:w="14626" w:type="dxa"/>
            <w:gridSpan w:val="2"/>
            <w:tcBorders>
              <w:top w:val="single" w:sz="18" w:space="0" w:color="00A8E5" w:themeColor="accent1"/>
            </w:tcBorders>
            <w:shd w:val="clear" w:color="auto" w:fill="F6F6F6"/>
            <w:vAlign w:val="center"/>
          </w:tcPr>
          <w:p w14:paraId="168554BB" w14:textId="29158327" w:rsidR="0029452D" w:rsidRPr="00F72FFE" w:rsidRDefault="0029452D" w:rsidP="00536F09">
            <w:pPr>
              <w:pStyle w:val="AEMCTableBodyCopyNumbers"/>
              <w:numPr>
                <w:ilvl w:val="0"/>
                <w:numId w:val="0"/>
              </w:numPr>
              <w:ind w:left="284" w:hanging="284"/>
              <w:rPr>
                <w:rStyle w:val="Hyperlink"/>
                <w:b/>
              </w:rPr>
            </w:pPr>
            <w:r>
              <w:rPr>
                <w:rStyle w:val="Hyperlink"/>
                <w:b/>
              </w:rPr>
              <w:lastRenderedPageBreak/>
              <w:t xml:space="preserve">Question 11 — </w:t>
            </w:r>
            <w:r w:rsidR="000A34D4">
              <w:rPr>
                <w:rStyle w:val="Hyperlink"/>
                <w:b/>
              </w:rPr>
              <w:t>R</w:t>
            </w:r>
            <w:r w:rsidR="000A34D4" w:rsidRPr="000A34D4">
              <w:rPr>
                <w:rStyle w:val="Hyperlink"/>
                <w:b/>
              </w:rPr>
              <w:t xml:space="preserve">ole of </w:t>
            </w:r>
            <w:r w:rsidR="00CD0137">
              <w:rPr>
                <w:rStyle w:val="Hyperlink"/>
                <w:b/>
              </w:rPr>
              <w:t xml:space="preserve">NSPs </w:t>
            </w:r>
            <w:r w:rsidR="000A34D4" w:rsidRPr="000A34D4">
              <w:rPr>
                <w:rStyle w:val="Hyperlink"/>
                <w:b/>
              </w:rPr>
              <w:t xml:space="preserve">and the </w:t>
            </w:r>
            <w:r w:rsidR="00CD0137">
              <w:rPr>
                <w:rStyle w:val="Hyperlink"/>
                <w:b/>
              </w:rPr>
              <w:t xml:space="preserve">GPSR </w:t>
            </w:r>
            <w:r w:rsidR="000A34D4" w:rsidRPr="000A34D4">
              <w:rPr>
                <w:rStyle w:val="Hyperlink"/>
                <w:b/>
              </w:rPr>
              <w:t>in managing indistinct events</w:t>
            </w:r>
          </w:p>
        </w:tc>
      </w:tr>
      <w:tr w:rsidR="0029452D" w:rsidRPr="0000465F" w14:paraId="24858076" w14:textId="77777777" w:rsidTr="0003557A">
        <w:trPr>
          <w:trHeight w:val="3359"/>
        </w:trPr>
        <w:tc>
          <w:tcPr>
            <w:tcW w:w="4535" w:type="dxa"/>
            <w:tcBorders>
              <w:right w:val="single" w:sz="2" w:space="0" w:color="58595B" w:themeColor="accent4"/>
            </w:tcBorders>
            <w:shd w:val="clear" w:color="auto" w:fill="F6F6F6"/>
            <w:vAlign w:val="center"/>
          </w:tcPr>
          <w:p w14:paraId="522707BE" w14:textId="4EBFC0E7" w:rsidR="0029452D" w:rsidRPr="006055DC" w:rsidRDefault="000A34D4" w:rsidP="006055DC">
            <w:pPr>
              <w:pStyle w:val="AEMCBodyCopyNumberedList01"/>
              <w:numPr>
                <w:ilvl w:val="0"/>
                <w:numId w:val="40"/>
              </w:numPr>
              <w:rPr>
                <w:rStyle w:val="Hyperlink"/>
                <w:lang w:val="en-AU"/>
              </w:rPr>
            </w:pPr>
            <w:r w:rsidRPr="006055DC">
              <w:rPr>
                <w:lang w:val="en-AU"/>
              </w:rPr>
              <w:t xml:space="preserve">What responsibility should AEMO have for identifying potential condition-dependent indistinct events in the GPSR (if implemented), and what responsibility should each NSP have? For example, how should responsibility be apportioned for network configuration issues, such as protection settings, reclose arrangements and sophisticated tripping? </w:t>
            </w:r>
          </w:p>
        </w:tc>
        <w:tc>
          <w:tcPr>
            <w:tcW w:w="10091" w:type="dxa"/>
            <w:tcBorders>
              <w:left w:val="single" w:sz="2" w:space="0" w:color="58595B" w:themeColor="accent4"/>
            </w:tcBorders>
            <w:vAlign w:val="center"/>
          </w:tcPr>
          <w:p w14:paraId="3E60D984" w14:textId="77777777" w:rsidR="0029452D" w:rsidRPr="00785222" w:rsidRDefault="0029452D"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9452D" w:rsidRPr="0000465F" w14:paraId="685C8FB8" w14:textId="77777777" w:rsidTr="0003557A">
        <w:trPr>
          <w:trHeight w:val="3251"/>
        </w:trPr>
        <w:tc>
          <w:tcPr>
            <w:tcW w:w="4535" w:type="dxa"/>
            <w:tcBorders>
              <w:right w:val="single" w:sz="2" w:space="0" w:color="58595B" w:themeColor="accent4"/>
            </w:tcBorders>
            <w:shd w:val="clear" w:color="auto" w:fill="F6F6F6"/>
            <w:vAlign w:val="center"/>
          </w:tcPr>
          <w:p w14:paraId="309DEABC" w14:textId="79D7B693" w:rsidR="0029452D" w:rsidRPr="000A34D4" w:rsidRDefault="000A34D4" w:rsidP="000A34D4">
            <w:pPr>
              <w:pStyle w:val="AEMCBodyCopyNumberedList01"/>
              <w:numPr>
                <w:ilvl w:val="0"/>
                <w:numId w:val="22"/>
              </w:numPr>
              <w:rPr>
                <w:lang w:val="en-AU"/>
              </w:rPr>
            </w:pPr>
            <w:r w:rsidRPr="000A34D4">
              <w:rPr>
                <w:lang w:val="en-AU"/>
              </w:rPr>
              <w:t>If an NSP considers outcomes from the GPSR and takes action to improve system security as a result, can and should these actions count towards the NSP’s network capability component under the service target performance incentive scheme (STPIS)?</w:t>
            </w:r>
          </w:p>
        </w:tc>
        <w:tc>
          <w:tcPr>
            <w:tcW w:w="10091" w:type="dxa"/>
            <w:tcBorders>
              <w:left w:val="single" w:sz="2" w:space="0" w:color="58595B" w:themeColor="accent4"/>
            </w:tcBorders>
            <w:vAlign w:val="center"/>
          </w:tcPr>
          <w:p w14:paraId="35430D28" w14:textId="77777777" w:rsidR="0029452D" w:rsidRPr="00785222" w:rsidRDefault="0029452D"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A3B9A52" w14:textId="77777777" w:rsidR="0003557A" w:rsidRDefault="0003557A">
      <w:pPr>
        <w:spacing w:line="259" w:lineRule="auto"/>
        <w:rPr>
          <w:rStyle w:val="Hyperlink"/>
          <w:rFonts w:cs="Times New Roman (Body CS)"/>
          <w:b/>
          <w:caps/>
          <w:color w:val="00A8E5" w:themeColor="accent1"/>
          <w:sz w:val="22"/>
          <w:szCs w:val="24"/>
        </w:rPr>
      </w:pPr>
      <w:r>
        <w:rPr>
          <w:rStyle w:val="Hyperlink"/>
          <w:b/>
        </w:rPr>
        <w:br w:type="page"/>
      </w:r>
    </w:p>
    <w:p w14:paraId="1384C0ED" w14:textId="024633BD" w:rsidR="000A34D4" w:rsidRDefault="000A34D4" w:rsidP="000A34D4">
      <w:pPr>
        <w:pStyle w:val="AEMCHeaderL4"/>
        <w:rPr>
          <w:rStyle w:val="Hyperlink"/>
        </w:rPr>
      </w:pPr>
      <w:r w:rsidRPr="008A4886">
        <w:rPr>
          <w:rStyle w:val="Hyperlink"/>
          <w:b/>
        </w:rPr>
        <w:lastRenderedPageBreak/>
        <w:t xml:space="preserve">CHAPTER </w:t>
      </w:r>
      <w:r>
        <w:rPr>
          <w:rStyle w:val="Hyperlink"/>
          <w:b/>
        </w:rPr>
        <w:t>7</w:t>
      </w:r>
      <w:r w:rsidRPr="008A4886">
        <w:rPr>
          <w:rStyle w:val="Hyperlink"/>
        </w:rPr>
        <w:t xml:space="preserve"> </w:t>
      </w:r>
      <w:r>
        <w:rPr>
          <w:rStyle w:val="Hyperlink"/>
        </w:rPr>
        <w:t>— Costs and benefits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0A34D4" w:rsidRPr="00F72FFE" w14:paraId="38E852C8" w14:textId="77777777" w:rsidTr="00536F09">
        <w:trPr>
          <w:trHeight w:val="567"/>
        </w:trPr>
        <w:tc>
          <w:tcPr>
            <w:tcW w:w="14626" w:type="dxa"/>
            <w:gridSpan w:val="2"/>
            <w:tcBorders>
              <w:top w:val="single" w:sz="18" w:space="0" w:color="00A8E5" w:themeColor="accent1"/>
            </w:tcBorders>
            <w:shd w:val="clear" w:color="auto" w:fill="F6F6F6"/>
            <w:vAlign w:val="center"/>
          </w:tcPr>
          <w:p w14:paraId="66E9F852" w14:textId="25775231" w:rsidR="000A34D4" w:rsidRPr="00F72FFE" w:rsidRDefault="000A34D4" w:rsidP="00536F09">
            <w:pPr>
              <w:pStyle w:val="AEMCTableBodyCopyNumbers"/>
              <w:numPr>
                <w:ilvl w:val="0"/>
                <w:numId w:val="0"/>
              </w:numPr>
              <w:ind w:left="284" w:hanging="284"/>
              <w:rPr>
                <w:rStyle w:val="Hyperlink"/>
                <w:b/>
              </w:rPr>
            </w:pPr>
            <w:r>
              <w:rPr>
                <w:rStyle w:val="Hyperlink"/>
                <w:b/>
              </w:rPr>
              <w:t xml:space="preserve">Question </w:t>
            </w:r>
            <w:r w:rsidR="00CD0137">
              <w:rPr>
                <w:rStyle w:val="Hyperlink"/>
                <w:b/>
              </w:rPr>
              <w:t>12</w:t>
            </w:r>
            <w:r>
              <w:rPr>
                <w:rStyle w:val="Hyperlink"/>
                <w:b/>
              </w:rPr>
              <w:t xml:space="preserve"> — </w:t>
            </w:r>
            <w:r w:rsidR="00BE3C1A">
              <w:rPr>
                <w:rStyle w:val="Hyperlink"/>
                <w:b/>
              </w:rPr>
              <w:t>P</w:t>
            </w:r>
            <w:r w:rsidR="00BE3C1A" w:rsidRPr="00BE3C1A">
              <w:rPr>
                <w:rStyle w:val="Hyperlink"/>
                <w:b/>
              </w:rPr>
              <w:t>roposed approach to cost minimisation</w:t>
            </w:r>
          </w:p>
        </w:tc>
      </w:tr>
      <w:tr w:rsidR="000A34D4" w:rsidRPr="0000465F" w14:paraId="0E1BFC67" w14:textId="77777777" w:rsidTr="00536F09">
        <w:trPr>
          <w:trHeight w:val="1054"/>
        </w:trPr>
        <w:tc>
          <w:tcPr>
            <w:tcW w:w="4535" w:type="dxa"/>
            <w:tcBorders>
              <w:right w:val="single" w:sz="2" w:space="0" w:color="58595B" w:themeColor="accent4"/>
            </w:tcBorders>
            <w:shd w:val="clear" w:color="auto" w:fill="F6F6F6"/>
            <w:vAlign w:val="center"/>
          </w:tcPr>
          <w:p w14:paraId="43BC9933" w14:textId="179A8217" w:rsidR="000A34D4" w:rsidRPr="0000465F" w:rsidRDefault="00445F9D" w:rsidP="00CD0137">
            <w:pPr>
              <w:pStyle w:val="AEMCBodyCopyNumberedList01"/>
              <w:numPr>
                <w:ilvl w:val="0"/>
                <w:numId w:val="27"/>
              </w:numPr>
              <w:rPr>
                <w:rStyle w:val="Hyperlink"/>
              </w:rPr>
            </w:pPr>
            <w:r w:rsidRPr="00CD0137">
              <w:rPr>
                <w:lang w:val="en-AU"/>
              </w:rPr>
              <w:t>Do you support the proposed cost-minimisation principle?</w:t>
            </w:r>
          </w:p>
        </w:tc>
        <w:tc>
          <w:tcPr>
            <w:tcW w:w="10091" w:type="dxa"/>
            <w:tcBorders>
              <w:left w:val="single" w:sz="2" w:space="0" w:color="58595B" w:themeColor="accent4"/>
            </w:tcBorders>
            <w:vAlign w:val="center"/>
          </w:tcPr>
          <w:p w14:paraId="354E0B80" w14:textId="77777777" w:rsidR="000A34D4" w:rsidRPr="00785222" w:rsidRDefault="000A34D4"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A34D4" w:rsidRPr="0000465F" w14:paraId="41A49AB2" w14:textId="77777777" w:rsidTr="006055DC">
        <w:trPr>
          <w:trHeight w:val="1636"/>
        </w:trPr>
        <w:tc>
          <w:tcPr>
            <w:tcW w:w="4535" w:type="dxa"/>
            <w:tcBorders>
              <w:right w:val="single" w:sz="2" w:space="0" w:color="58595B" w:themeColor="accent4"/>
            </w:tcBorders>
            <w:shd w:val="clear" w:color="auto" w:fill="F6F6F6"/>
            <w:vAlign w:val="center"/>
          </w:tcPr>
          <w:p w14:paraId="62AEB928" w14:textId="6CA7225E" w:rsidR="000A34D4" w:rsidRPr="00024744" w:rsidRDefault="00445F9D" w:rsidP="00445F9D">
            <w:pPr>
              <w:pStyle w:val="AEMCBodyCopyNumberedList01"/>
              <w:numPr>
                <w:ilvl w:val="0"/>
                <w:numId w:val="22"/>
              </w:numPr>
              <w:rPr>
                <w:lang w:val="en-AU"/>
              </w:rPr>
            </w:pPr>
            <w:r w:rsidRPr="00445F9D">
              <w:rPr>
                <w:lang w:val="en-AU"/>
              </w:rPr>
              <w:t>Does the proposed framework contain adequate mechanisms to ensure standing,</w:t>
            </w:r>
            <w:r>
              <w:rPr>
                <w:lang w:val="en-AU"/>
              </w:rPr>
              <w:t xml:space="preserve"> </w:t>
            </w:r>
            <w:r w:rsidRPr="00445F9D">
              <w:rPr>
                <w:lang w:val="en-AU"/>
              </w:rPr>
              <w:t>condition</w:t>
            </w:r>
            <w:r>
              <w:rPr>
                <w:lang w:val="en-AU"/>
              </w:rPr>
              <w:t>-</w:t>
            </w:r>
            <w:r w:rsidRPr="00445F9D">
              <w:rPr>
                <w:lang w:val="en-AU"/>
              </w:rPr>
              <w:t>dependent and ad-hoc indistinct events are effectively managed at least cost?</w:t>
            </w:r>
          </w:p>
        </w:tc>
        <w:tc>
          <w:tcPr>
            <w:tcW w:w="10091" w:type="dxa"/>
            <w:tcBorders>
              <w:left w:val="single" w:sz="2" w:space="0" w:color="58595B" w:themeColor="accent4"/>
            </w:tcBorders>
            <w:vAlign w:val="center"/>
          </w:tcPr>
          <w:p w14:paraId="64022725" w14:textId="77777777" w:rsidR="000A34D4" w:rsidRPr="00785222" w:rsidRDefault="000A34D4" w:rsidP="00536F09">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D0137" w:rsidRPr="0000465F" w14:paraId="1B514704" w14:textId="77777777" w:rsidTr="006055DC">
        <w:trPr>
          <w:trHeight w:val="1701"/>
        </w:trPr>
        <w:tc>
          <w:tcPr>
            <w:tcW w:w="4535" w:type="dxa"/>
            <w:tcBorders>
              <w:right w:val="single" w:sz="2" w:space="0" w:color="58595B" w:themeColor="accent4"/>
            </w:tcBorders>
            <w:shd w:val="clear" w:color="auto" w:fill="F6F6F6"/>
            <w:vAlign w:val="center"/>
          </w:tcPr>
          <w:p w14:paraId="0BFC7CB0" w14:textId="647F6404" w:rsidR="00CD0137" w:rsidRPr="00024744" w:rsidRDefault="00CD0137" w:rsidP="00CD0137">
            <w:pPr>
              <w:pStyle w:val="AEMCBodyCopyNumberedList01"/>
              <w:numPr>
                <w:ilvl w:val="0"/>
                <w:numId w:val="22"/>
              </w:numPr>
              <w:rPr>
                <w:lang w:val="en-AU"/>
              </w:rPr>
            </w:pPr>
            <w:r w:rsidRPr="00445F9D">
              <w:rPr>
                <w:lang w:val="en-AU"/>
              </w:rPr>
              <w:t>Is the proposed approach to cost minimisation, including reliability panel oversight, the</w:t>
            </w:r>
            <w:r>
              <w:rPr>
                <w:lang w:val="en-AU"/>
              </w:rPr>
              <w:t xml:space="preserve"> </w:t>
            </w:r>
            <w:r w:rsidRPr="00445F9D">
              <w:rPr>
                <w:lang w:val="en-AU"/>
              </w:rPr>
              <w:t>most effective framework for assessing proposed protected operation periods?</w:t>
            </w:r>
          </w:p>
        </w:tc>
        <w:tc>
          <w:tcPr>
            <w:tcW w:w="10091" w:type="dxa"/>
            <w:tcBorders>
              <w:left w:val="single" w:sz="2" w:space="0" w:color="58595B" w:themeColor="accent4"/>
            </w:tcBorders>
            <w:vAlign w:val="center"/>
          </w:tcPr>
          <w:p w14:paraId="704828C7" w14:textId="532D35AF" w:rsidR="00CD0137" w:rsidRPr="00785222" w:rsidRDefault="00CD0137" w:rsidP="00CD0137">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D0137" w:rsidRPr="0000465F" w14:paraId="2638E446" w14:textId="77777777" w:rsidTr="006055DC">
        <w:trPr>
          <w:trHeight w:val="1553"/>
        </w:trPr>
        <w:tc>
          <w:tcPr>
            <w:tcW w:w="4535" w:type="dxa"/>
            <w:tcBorders>
              <w:right w:val="single" w:sz="2" w:space="0" w:color="58595B" w:themeColor="accent4"/>
            </w:tcBorders>
            <w:shd w:val="clear" w:color="auto" w:fill="F6F6F6"/>
            <w:vAlign w:val="center"/>
          </w:tcPr>
          <w:p w14:paraId="0CE92D41" w14:textId="1EE769ED" w:rsidR="00CD0137" w:rsidRPr="00445F9D" w:rsidRDefault="00CD0137" w:rsidP="00CD0137">
            <w:pPr>
              <w:pStyle w:val="AEMCBodyCopyNumberedList01"/>
              <w:numPr>
                <w:ilvl w:val="0"/>
                <w:numId w:val="22"/>
              </w:numPr>
              <w:rPr>
                <w:lang w:val="en-AU"/>
              </w:rPr>
            </w:pPr>
            <w:r w:rsidRPr="00445F9D">
              <w:rPr>
                <w:lang w:val="en-AU"/>
              </w:rPr>
              <w:t>Are there other more efficient and effective frameworks to minimise costs or assess</w:t>
            </w:r>
            <w:r>
              <w:rPr>
                <w:lang w:val="en-AU"/>
              </w:rPr>
              <w:t xml:space="preserve"> </w:t>
            </w:r>
            <w:r w:rsidRPr="00445F9D">
              <w:rPr>
                <w:lang w:val="en-AU"/>
              </w:rPr>
              <w:t>protected operation periods?</w:t>
            </w:r>
          </w:p>
        </w:tc>
        <w:tc>
          <w:tcPr>
            <w:tcW w:w="10091" w:type="dxa"/>
            <w:tcBorders>
              <w:left w:val="single" w:sz="2" w:space="0" w:color="58595B" w:themeColor="accent4"/>
            </w:tcBorders>
            <w:vAlign w:val="center"/>
          </w:tcPr>
          <w:p w14:paraId="6879DDA5" w14:textId="0871523E" w:rsidR="00CD0137" w:rsidRPr="00785222" w:rsidRDefault="00CD0137" w:rsidP="00CD0137">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D0137" w:rsidRPr="0000465F" w14:paraId="104BC6B3" w14:textId="77777777" w:rsidTr="0003557A">
        <w:trPr>
          <w:trHeight w:val="1422"/>
        </w:trPr>
        <w:tc>
          <w:tcPr>
            <w:tcW w:w="4535" w:type="dxa"/>
            <w:tcBorders>
              <w:right w:val="single" w:sz="2" w:space="0" w:color="58595B" w:themeColor="accent4"/>
            </w:tcBorders>
            <w:shd w:val="clear" w:color="auto" w:fill="F6F6F6"/>
            <w:vAlign w:val="center"/>
          </w:tcPr>
          <w:p w14:paraId="246D1FDC" w14:textId="55536647" w:rsidR="00CD0137" w:rsidRPr="00024744" w:rsidRDefault="00CD0137" w:rsidP="00CD0137">
            <w:pPr>
              <w:pStyle w:val="AEMCBodyCopyNumberedList01"/>
              <w:numPr>
                <w:ilvl w:val="0"/>
                <w:numId w:val="22"/>
              </w:numPr>
              <w:rPr>
                <w:lang w:val="en-AU"/>
              </w:rPr>
            </w:pPr>
            <w:r w:rsidRPr="00CD0137">
              <w:rPr>
                <w:lang w:val="en-AU"/>
              </w:rPr>
              <w:t>Is the proposed approach to cost minimisation sufficiently transparent to allow</w:t>
            </w:r>
            <w:r>
              <w:rPr>
                <w:lang w:val="en-AU"/>
              </w:rPr>
              <w:t xml:space="preserve"> </w:t>
            </w:r>
            <w:r w:rsidRPr="00CD0137">
              <w:rPr>
                <w:lang w:val="en-AU"/>
              </w:rPr>
              <w:t>stakeholders to assess whether AEMO is efficiently managing indistinct events?</w:t>
            </w:r>
          </w:p>
        </w:tc>
        <w:tc>
          <w:tcPr>
            <w:tcW w:w="10091" w:type="dxa"/>
            <w:tcBorders>
              <w:left w:val="single" w:sz="2" w:space="0" w:color="58595B" w:themeColor="accent4"/>
            </w:tcBorders>
            <w:vAlign w:val="center"/>
          </w:tcPr>
          <w:p w14:paraId="096C06C1" w14:textId="77777777" w:rsidR="00CD0137" w:rsidRPr="00785222" w:rsidRDefault="00CD0137" w:rsidP="00CD0137">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8834507" w14:textId="77777777" w:rsidR="0029452D" w:rsidRPr="0029452D" w:rsidRDefault="0029452D" w:rsidP="0003557A">
      <w:pPr>
        <w:pStyle w:val="AEMCBodyCopy"/>
      </w:pPr>
    </w:p>
    <w:sectPr w:rsidR="0029452D" w:rsidRPr="0029452D" w:rsidSect="0033096F">
      <w:headerReference w:type="default" r:id="rId12"/>
      <w:footerReference w:type="default" r:id="rId13"/>
      <w:headerReference w:type="first" r:id="rId14"/>
      <w:footerReference w:type="first" r:id="rId15"/>
      <w:pgSz w:w="16840" w:h="11901" w:orient="landscape" w:code="9"/>
      <w:pgMar w:top="1843" w:right="1134" w:bottom="993"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90B4" w14:textId="77777777" w:rsidR="002B679B" w:rsidRDefault="002B679B" w:rsidP="00E768E2">
      <w:r>
        <w:separator/>
      </w:r>
    </w:p>
    <w:p w14:paraId="06F341A8" w14:textId="77777777" w:rsidR="002B679B" w:rsidRDefault="002B679B" w:rsidP="00E768E2"/>
    <w:p w14:paraId="3D2A6BAD" w14:textId="77777777" w:rsidR="002B679B" w:rsidRDefault="002B679B" w:rsidP="00E768E2"/>
    <w:p w14:paraId="1F7194AE" w14:textId="77777777" w:rsidR="002B679B" w:rsidRDefault="002B679B" w:rsidP="00E768E2"/>
    <w:p w14:paraId="63619FF7" w14:textId="77777777" w:rsidR="002B679B" w:rsidRDefault="002B679B"/>
    <w:p w14:paraId="3342AEE2" w14:textId="77777777" w:rsidR="002B679B" w:rsidRDefault="002B679B"/>
  </w:endnote>
  <w:endnote w:type="continuationSeparator" w:id="0">
    <w:p w14:paraId="33276AA0" w14:textId="77777777" w:rsidR="002B679B" w:rsidRDefault="002B679B" w:rsidP="00E768E2">
      <w:r>
        <w:continuationSeparator/>
      </w:r>
    </w:p>
    <w:p w14:paraId="0A32452F" w14:textId="77777777" w:rsidR="002B679B" w:rsidRDefault="002B679B" w:rsidP="00E768E2"/>
    <w:p w14:paraId="4594D35F" w14:textId="77777777" w:rsidR="002B679B" w:rsidRDefault="002B679B" w:rsidP="00E768E2"/>
    <w:p w14:paraId="797DBF4C" w14:textId="77777777" w:rsidR="002B679B" w:rsidRDefault="002B679B" w:rsidP="00E768E2"/>
    <w:p w14:paraId="6820B401" w14:textId="77777777" w:rsidR="002B679B" w:rsidRDefault="002B679B"/>
    <w:p w14:paraId="49A66BB2" w14:textId="77777777" w:rsidR="002B679B" w:rsidRDefault="002B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BDDKD P+ Tahoma">
    <w:altName w:val="Tahoma"/>
    <w:panose1 w:val="00000000000000000000"/>
    <w:charset w:val="00"/>
    <w:family w:val="swiss"/>
    <w:notTrueType/>
    <w:pitch w:val="default"/>
    <w:sig w:usb0="00000003" w:usb1="00000000" w:usb2="00000000" w:usb3="00000000" w:csb0="00000001" w:csb1="00000000"/>
  </w:font>
  <w:font w:name="DGCBO L+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6CE9" w14:textId="77777777" w:rsidR="002B679B" w:rsidRPr="004B34C2" w:rsidRDefault="002B679B"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2</w:t>
    </w:r>
    <w:r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E115" w14:textId="77777777" w:rsidR="002B679B" w:rsidRPr="008F5900" w:rsidRDefault="002B679B"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6F7F" w14:textId="77777777" w:rsidR="002B679B" w:rsidRDefault="002B679B">
      <w:r>
        <w:separator/>
      </w:r>
    </w:p>
  </w:footnote>
  <w:footnote w:type="continuationSeparator" w:id="0">
    <w:p w14:paraId="55EE70C6" w14:textId="77777777" w:rsidR="002B679B" w:rsidRDefault="002B679B" w:rsidP="00E768E2">
      <w:r>
        <w:continuationSeparator/>
      </w:r>
    </w:p>
    <w:p w14:paraId="3769510B" w14:textId="77777777" w:rsidR="002B679B" w:rsidRDefault="002B679B" w:rsidP="00E768E2"/>
    <w:p w14:paraId="5E56E929" w14:textId="77777777" w:rsidR="002B679B" w:rsidRDefault="002B679B" w:rsidP="00E768E2"/>
    <w:p w14:paraId="473BC5C0" w14:textId="77777777" w:rsidR="002B679B" w:rsidRDefault="002B679B" w:rsidP="00E768E2"/>
    <w:p w14:paraId="5B1E3A41" w14:textId="77777777" w:rsidR="002B679B" w:rsidRDefault="002B679B"/>
    <w:p w14:paraId="31ADB1D8" w14:textId="77777777" w:rsidR="002B679B" w:rsidRDefault="002B6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2B679B" w14:paraId="55470BCA" w14:textId="77777777" w:rsidTr="00C14DB5">
      <w:trPr>
        <w:trHeight w:val="680"/>
      </w:trPr>
      <w:tc>
        <w:tcPr>
          <w:tcW w:w="8147" w:type="dxa"/>
        </w:tcPr>
        <w:p w14:paraId="5BC0FAC4" w14:textId="77777777" w:rsidR="002B679B" w:rsidRPr="00D260FB" w:rsidRDefault="002B679B" w:rsidP="00D260FB">
          <w:pPr>
            <w:pStyle w:val="Header"/>
            <w:ind w:left="85"/>
            <w:rPr>
              <w:b/>
              <w:lang w:val="en-AU"/>
            </w:rPr>
          </w:pPr>
          <w:r>
            <w:rPr>
              <w:b/>
              <w:lang w:val="en-AU"/>
            </w:rPr>
            <w:t>Stakeholder feedback</w:t>
          </w:r>
        </w:p>
        <w:p w14:paraId="156124E5" w14:textId="21D33414" w:rsidR="002B679B" w:rsidRDefault="00B12140" w:rsidP="009E7726">
          <w:pPr>
            <w:pStyle w:val="Header"/>
            <w:tabs>
              <w:tab w:val="clear" w:pos="4513"/>
              <w:tab w:val="clear" w:pos="9026"/>
              <w:tab w:val="left" w:pos="2240"/>
            </w:tabs>
            <w:ind w:left="85"/>
            <w:rPr>
              <w:lang w:val="en-AU"/>
            </w:rPr>
          </w:pPr>
          <w:r>
            <w:rPr>
              <w:lang w:val="en-AU"/>
            </w:rPr>
            <w:t>Enhancing operational resilience in relation to indistinct events — consultation paper</w:t>
          </w:r>
        </w:p>
        <w:p w14:paraId="4AD12A0D" w14:textId="1B034CE7" w:rsidR="002B679B" w:rsidRDefault="00B12140" w:rsidP="009E7726">
          <w:pPr>
            <w:pStyle w:val="Header"/>
            <w:ind w:left="85"/>
            <w:rPr>
              <w:lang w:val="en-AU"/>
            </w:rPr>
          </w:pPr>
          <w:r>
            <w:rPr>
              <w:lang w:val="en-AU"/>
            </w:rPr>
            <w:t>17 December 2020</w:t>
          </w:r>
        </w:p>
      </w:tc>
    </w:tr>
  </w:tbl>
  <w:p w14:paraId="219C20C6" w14:textId="77777777" w:rsidR="002B679B" w:rsidRPr="004B34C2" w:rsidRDefault="002B679B" w:rsidP="00B12140">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64A5" w14:textId="77777777" w:rsidR="002B679B" w:rsidRDefault="002B679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4051D5C4" wp14:editId="1E82A788">
              <wp:simplePos x="0" y="0"/>
              <wp:positionH relativeFrom="page">
                <wp:posOffset>720090</wp:posOffset>
              </wp:positionH>
              <wp:positionV relativeFrom="page">
                <wp:posOffset>2127885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B5444"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67.55pt" to="105.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" o:allowoverlap="f" strokecolor="#00a8e5 [3204]" strokeweight="1.5pt">
              <w10:wrap anchorx="page" anchory="page"/>
            </v:line>
          </w:pict>
        </mc:Fallback>
      </mc:AlternateContent>
    </w:r>
    <w:r>
      <w:rPr>
        <w:noProof/>
        <w:lang w:val="en-AU" w:eastAsia="en-AU"/>
      </w:rPr>
      <w:drawing>
        <wp:inline distT="0" distB="0" distL="0" distR="0" wp14:anchorId="1561D264" wp14:editId="64D112D4">
          <wp:extent cx="1080000" cy="25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19DE29"/>
    <w:multiLevelType w:val="hybridMultilevel"/>
    <w:tmpl w:val="9DD0A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F3FDD"/>
    <w:multiLevelType w:val="hybridMultilevel"/>
    <w:tmpl w:val="05A68A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3D14C0"/>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727CA"/>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10B26"/>
    <w:multiLevelType w:val="hybridMultilevel"/>
    <w:tmpl w:val="726119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A4A956"/>
    <w:multiLevelType w:val="hybridMultilevel"/>
    <w:tmpl w:val="C3C956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90BEED"/>
    <w:multiLevelType w:val="hybridMultilevel"/>
    <w:tmpl w:val="6796C4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5B7F49"/>
    <w:multiLevelType w:val="hybridMultilevel"/>
    <w:tmpl w:val="AC886E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2EC2CB4"/>
    <w:multiLevelType w:val="hybridMultilevel"/>
    <w:tmpl w:val="53D0A990"/>
    <w:lvl w:ilvl="0" w:tplc="0C09000F">
      <w:start w:val="1"/>
      <w:numFmt w:val="decimal"/>
      <w:lvlText w:val="%1."/>
      <w:lvlJc w:val="left"/>
      <w:pPr>
        <w:tabs>
          <w:tab w:val="num" w:pos="283"/>
        </w:tabs>
        <w:ind w:left="283" w:hanging="283"/>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505E6FA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A859EB"/>
    <w:multiLevelType w:val="hybridMultilevel"/>
    <w:tmpl w:val="0DB6DC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921193"/>
    <w:multiLevelType w:val="multilevel"/>
    <w:tmpl w:val="FDDEE6CE"/>
    <w:lvl w:ilvl="0">
      <w:start w:val="1"/>
      <w:numFmt w:val="bullet"/>
      <w:pStyle w:val="AEMCBodyCopyListBullets"/>
      <w:lvlText w:val=""/>
      <w:lvlJc w:val="left"/>
      <w:pPr>
        <w:ind w:left="680" w:hanging="340"/>
      </w:pPr>
      <w:rPr>
        <w:rFonts w:ascii="Symbol" w:hAnsi="Symbol" w:hint="default"/>
        <w:color w:val="000000"/>
      </w:rPr>
    </w:lvl>
    <w:lvl w:ilvl="1">
      <w:start w:val="1"/>
      <w:numFmt w:val="bullet"/>
      <w:lvlText w:val=""/>
      <w:lvlJc w:val="left"/>
      <w:pPr>
        <w:tabs>
          <w:tab w:val="num" w:pos="1020"/>
        </w:tabs>
        <w:ind w:left="1020" w:hanging="340"/>
      </w:pPr>
      <w:rPr>
        <w:rFonts w:ascii="Symbol" w:hAnsi="Symbol" w:hint="default"/>
        <w:color w:val="000000"/>
      </w:rPr>
    </w:lvl>
    <w:lvl w:ilvl="2">
      <w:start w:val="1"/>
      <w:numFmt w:val="bullet"/>
      <w:lvlText w:val=""/>
      <w:lvlJc w:val="left"/>
      <w:pPr>
        <w:tabs>
          <w:tab w:val="num" w:pos="1361"/>
        </w:tabs>
        <w:ind w:left="1361" w:hanging="341"/>
      </w:pPr>
      <w:rPr>
        <w:rFonts w:ascii="Symbol" w:hAnsi="Symbol" w:hint="default"/>
        <w:color w:val="000000"/>
      </w:rPr>
    </w:lvl>
    <w:lvl w:ilvl="3">
      <w:start w:val="1"/>
      <w:numFmt w:val="bullet"/>
      <w:lvlText w:val=""/>
      <w:lvlJc w:val="left"/>
      <w:pPr>
        <w:ind w:left="1780" w:hanging="360"/>
      </w:pPr>
      <w:rPr>
        <w:rFonts w:ascii="Symbol" w:hAnsi="Symbol"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16" w15:restartNumberingAfterBreak="0">
    <w:nsid w:val="768E766E"/>
    <w:multiLevelType w:val="hybridMultilevel"/>
    <w:tmpl w:val="C34A8312"/>
    <w:lvl w:ilvl="0" w:tplc="0C090017">
      <w:start w:val="1"/>
      <w:numFmt w:val="lowerLetter"/>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E0236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0"/>
  </w:num>
  <w:num w:numId="3">
    <w:abstractNumId w:val="8"/>
  </w:num>
  <w:num w:numId="4">
    <w:abstractNumId w:val="9"/>
  </w:num>
  <w:num w:numId="5">
    <w:abstractNumId w:val="15"/>
  </w:num>
  <w:num w:numId="6">
    <w:abstractNumId w:val="16"/>
  </w:num>
  <w:num w:numId="7">
    <w:abstractNumId w:val="11"/>
  </w:num>
  <w:num w:numId="8">
    <w:abstractNumId w:val="11"/>
    <w:lvlOverride w:ilvl="0">
      <w:startOverride w:val="1"/>
    </w:lvlOverride>
  </w:num>
  <w:num w:numId="9">
    <w:abstractNumId w:val="13"/>
  </w:num>
  <w:num w:numId="10">
    <w:abstractNumId w:val="16"/>
    <w:lvlOverride w:ilvl="0">
      <w:startOverride w:val="1"/>
    </w:lvlOverride>
  </w:num>
  <w:num w:numId="11">
    <w:abstractNumId w:val="16"/>
  </w:num>
  <w:num w:numId="12">
    <w:abstractNumId w:val="2"/>
  </w:num>
  <w:num w:numId="13">
    <w:abstractNumId w:val="17"/>
  </w:num>
  <w:num w:numId="14">
    <w:abstractNumId w:val="16"/>
  </w:num>
  <w:num w:numId="15">
    <w:abstractNumId w:val="12"/>
  </w:num>
  <w:num w:numId="16">
    <w:abstractNumId w:val="3"/>
  </w:num>
  <w:num w:numId="17">
    <w:abstractNumId w:val="6"/>
  </w:num>
  <w:num w:numId="18">
    <w:abstractNumId w:val="4"/>
  </w:num>
  <w:num w:numId="19">
    <w:abstractNumId w:val="7"/>
  </w:num>
  <w:num w:numId="20">
    <w:abstractNumId w:val="10"/>
    <w:lvlOverride w:ilvl="0">
      <w:startOverride w:val="1"/>
    </w:lvlOverride>
  </w:num>
  <w:num w:numId="21">
    <w:abstractNumId w:val="10"/>
  </w:num>
  <w:num w:numId="22">
    <w:abstractNumId w:val="10"/>
    <w:lvlOverride w:ilvl="0">
      <w:startOverride w:val="1"/>
    </w:lvlOverride>
  </w:num>
  <w:num w:numId="23">
    <w:abstractNumId w:val="10"/>
    <w:lvlOverride w:ilvl="0">
      <w:startOverride w:val="1"/>
    </w:lvlOverride>
  </w:num>
  <w:num w:numId="24">
    <w:abstractNumId w:val="1"/>
  </w:num>
  <w:num w:numId="25">
    <w:abstractNumId w:val="5"/>
  </w:num>
  <w:num w:numId="26">
    <w:abstractNumId w:val="0"/>
  </w:num>
  <w:num w:numId="27">
    <w:abstractNumId w:val="10"/>
    <w:lvlOverride w:ilvl="0">
      <w:startOverride w:val="1"/>
    </w:lvlOverride>
  </w:num>
  <w:num w:numId="28">
    <w:abstractNumId w:val="10"/>
  </w:num>
  <w:num w:numId="29">
    <w:abstractNumId w:val="10"/>
    <w:lvlOverride w:ilvl="0">
      <w:startOverride w:val="1"/>
    </w:lvlOverride>
  </w:num>
  <w:num w:numId="30">
    <w:abstractNumId w:val="10"/>
  </w:num>
  <w:num w:numId="31">
    <w:abstractNumId w:val="10"/>
  </w:num>
  <w:num w:numId="32">
    <w:abstractNumId w:val="10"/>
    <w:lvlOverride w:ilvl="0">
      <w:startOverride w:val="1"/>
    </w:lvlOverride>
  </w:num>
  <w:num w:numId="33">
    <w:abstractNumId w:val="10"/>
  </w:num>
  <w:num w:numId="34">
    <w:abstractNumId w:val="10"/>
    <w:lvlOverride w:ilvl="0">
      <w:startOverride w:val="1"/>
    </w:lvlOverride>
  </w:num>
  <w:num w:numId="35">
    <w:abstractNumId w:val="10"/>
  </w:num>
  <w:num w:numId="36">
    <w:abstractNumId w:val="10"/>
    <w:lvlOverride w:ilvl="0">
      <w:startOverride w:val="1"/>
    </w:lvlOverride>
  </w:num>
  <w:num w:numId="37">
    <w:abstractNumId w:val="10"/>
    <w:lvlOverride w:ilvl="0">
      <w:startOverride w:val="1"/>
    </w:lvlOverride>
  </w:num>
  <w:num w:numId="38">
    <w:abstractNumId w:val="10"/>
  </w:num>
  <w:num w:numId="39">
    <w:abstractNumId w:val="10"/>
    <w:lvlOverride w:ilvl="0">
      <w:startOverride w:val="1"/>
    </w:lvlOverride>
  </w:num>
  <w:num w:numId="40">
    <w:abstractNumId w:val="1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6"/>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744"/>
    <w:rsid w:val="00024BBD"/>
    <w:rsid w:val="00026054"/>
    <w:rsid w:val="0002771D"/>
    <w:rsid w:val="000279B0"/>
    <w:rsid w:val="000309D3"/>
    <w:rsid w:val="00030FAD"/>
    <w:rsid w:val="000310AE"/>
    <w:rsid w:val="00032B9F"/>
    <w:rsid w:val="000343AF"/>
    <w:rsid w:val="00034DC3"/>
    <w:rsid w:val="00034F88"/>
    <w:rsid w:val="0003557A"/>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0C87"/>
    <w:rsid w:val="00051F67"/>
    <w:rsid w:val="00052368"/>
    <w:rsid w:val="00052A04"/>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34D4"/>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9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B86"/>
    <w:rsid w:val="00150F93"/>
    <w:rsid w:val="00151729"/>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63D4"/>
    <w:rsid w:val="001C76B1"/>
    <w:rsid w:val="001D04BF"/>
    <w:rsid w:val="001D0D44"/>
    <w:rsid w:val="001D1B40"/>
    <w:rsid w:val="001D4059"/>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081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102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452D"/>
    <w:rsid w:val="00295F6F"/>
    <w:rsid w:val="00296038"/>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79B"/>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096F"/>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5F9D"/>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4374"/>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1588"/>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40"/>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5DC"/>
    <w:rsid w:val="00605E64"/>
    <w:rsid w:val="006067A2"/>
    <w:rsid w:val="0061046D"/>
    <w:rsid w:val="0061366F"/>
    <w:rsid w:val="006139A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B7EFD"/>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4766"/>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0D8F"/>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4A70"/>
    <w:rsid w:val="009C75DB"/>
    <w:rsid w:val="009D11C2"/>
    <w:rsid w:val="009D1AD6"/>
    <w:rsid w:val="009D214F"/>
    <w:rsid w:val="009D563D"/>
    <w:rsid w:val="009D6100"/>
    <w:rsid w:val="009D680D"/>
    <w:rsid w:val="009E05F8"/>
    <w:rsid w:val="009E0697"/>
    <w:rsid w:val="009E1350"/>
    <w:rsid w:val="009E1601"/>
    <w:rsid w:val="009E1C41"/>
    <w:rsid w:val="009E2A5C"/>
    <w:rsid w:val="009E34CF"/>
    <w:rsid w:val="009E3DF0"/>
    <w:rsid w:val="009E410E"/>
    <w:rsid w:val="009E4214"/>
    <w:rsid w:val="009E494A"/>
    <w:rsid w:val="009E49C6"/>
    <w:rsid w:val="009E5046"/>
    <w:rsid w:val="009E515B"/>
    <w:rsid w:val="009E522E"/>
    <w:rsid w:val="009E5E12"/>
    <w:rsid w:val="009E7726"/>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2D12"/>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47EDB"/>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322"/>
    <w:rsid w:val="00A973E5"/>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40"/>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4F3"/>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5EC"/>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3EC"/>
    <w:rsid w:val="00B93EBC"/>
    <w:rsid w:val="00B94387"/>
    <w:rsid w:val="00B94E90"/>
    <w:rsid w:val="00B9644E"/>
    <w:rsid w:val="00B9672A"/>
    <w:rsid w:val="00B97AE0"/>
    <w:rsid w:val="00BA0FED"/>
    <w:rsid w:val="00BA3342"/>
    <w:rsid w:val="00BA3D2A"/>
    <w:rsid w:val="00BA55F6"/>
    <w:rsid w:val="00BA5C63"/>
    <w:rsid w:val="00BA6D44"/>
    <w:rsid w:val="00BB01AD"/>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D74EB"/>
    <w:rsid w:val="00BE0349"/>
    <w:rsid w:val="00BE09CB"/>
    <w:rsid w:val="00BE1E88"/>
    <w:rsid w:val="00BE2445"/>
    <w:rsid w:val="00BE2FB1"/>
    <w:rsid w:val="00BE36F8"/>
    <w:rsid w:val="00BE3C1A"/>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66FB7"/>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582"/>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37"/>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17ED4"/>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67D1D"/>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4A75"/>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28E3"/>
    <w:rsid w:val="00E03DA8"/>
    <w:rsid w:val="00E04852"/>
    <w:rsid w:val="00E04FC5"/>
    <w:rsid w:val="00E05D2F"/>
    <w:rsid w:val="00E06234"/>
    <w:rsid w:val="00E069B8"/>
    <w:rsid w:val="00E10DC1"/>
    <w:rsid w:val="00E113EE"/>
    <w:rsid w:val="00E122F7"/>
    <w:rsid w:val="00E12432"/>
    <w:rsid w:val="00E13A52"/>
    <w:rsid w:val="00E1434E"/>
    <w:rsid w:val="00E14FA8"/>
    <w:rsid w:val="00E16261"/>
    <w:rsid w:val="00E16D9A"/>
    <w:rsid w:val="00E16F57"/>
    <w:rsid w:val="00E17B4B"/>
    <w:rsid w:val="00E20CD9"/>
    <w:rsid w:val="00E22D5C"/>
    <w:rsid w:val="00E23CE5"/>
    <w:rsid w:val="00E248D7"/>
    <w:rsid w:val="00E257AD"/>
    <w:rsid w:val="00E25A98"/>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999"/>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5A98"/>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2188"/>
    <w:rsid w:val="00ED374A"/>
    <w:rsid w:val="00ED3B73"/>
    <w:rsid w:val="00ED3CFA"/>
    <w:rsid w:val="00ED4285"/>
    <w:rsid w:val="00ED440F"/>
    <w:rsid w:val="00ED4A07"/>
    <w:rsid w:val="00ED5F41"/>
    <w:rsid w:val="00ED64E9"/>
    <w:rsid w:val="00ED6E5C"/>
    <w:rsid w:val="00ED7CC7"/>
    <w:rsid w:val="00EE19F9"/>
    <w:rsid w:val="00EE2007"/>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2B11"/>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2FFE"/>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5ED1A"/>
  <w15:docId w15:val="{1193F4F1-A589-4ED9-8155-C552D37B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 w:type="paragraph" w:styleId="ListParagraph">
    <w:name w:val="List Paragraph"/>
    <w:basedOn w:val="Normal"/>
    <w:uiPriority w:val="34"/>
    <w:qFormat/>
    <w:rsid w:val="00A9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E8DBED1D18A4D9A19F36CB6DAD5FB" ma:contentTypeVersion="6" ma:contentTypeDescription="Create a new document." ma:contentTypeScope="" ma:versionID="ddcb2404860bf6564e9188838345f9d6">
  <xsd:schema xmlns:xsd="http://www.w3.org/2001/XMLSchema" xmlns:xs="http://www.w3.org/2001/XMLSchema" xmlns:p="http://schemas.microsoft.com/office/2006/metadata/properties" xmlns:ns2="de58221e-deb5-470c-bb47-a5231517382b" xmlns:ns3="44a9552e-152c-4798-9a81-95ed67d0d0ee" targetNamespace="http://schemas.microsoft.com/office/2006/metadata/properties" ma:root="true" ma:fieldsID="0342ac0e9a49696103a1bd81468fc1e7" ns2:_="" ns3:_="">
    <xsd:import namespace="de58221e-deb5-470c-bb47-a5231517382b"/>
    <xsd:import namespace="44a9552e-152c-4798-9a81-95ed67d0d0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221e-deb5-470c-bb47-a52315173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9552e-152c-4798-9a81-95ed67d0d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500B65-D61C-479D-B857-48F23CB6425E}">
  <ds:schemaRefs>
    <ds:schemaRef ds:uri="http://purl.org/dc/elements/1.1/"/>
    <ds:schemaRef ds:uri="http://schemas.microsoft.com/office/2006/metadata/properties"/>
    <ds:schemaRef ds:uri="http://schemas.microsoft.com/office/infopath/2007/PartnerControls"/>
    <ds:schemaRef ds:uri="44a9552e-152c-4798-9a81-95ed67d0d0ee"/>
    <ds:schemaRef ds:uri="http://purl.org/dc/terms/"/>
    <ds:schemaRef ds:uri="http://schemas.openxmlformats.org/package/2006/metadata/core-properties"/>
    <ds:schemaRef ds:uri="http://schemas.microsoft.com/office/2006/documentManagement/types"/>
    <ds:schemaRef ds:uri="de58221e-deb5-470c-bb47-a5231517382b"/>
    <ds:schemaRef ds:uri="http://www.w3.org/XML/1998/namespace"/>
    <ds:schemaRef ds:uri="http://purl.org/dc/dcmitype/"/>
  </ds:schemaRefs>
</ds:datastoreItem>
</file>

<file path=customXml/itemProps2.xml><?xml version="1.0" encoding="utf-8"?>
<ds:datastoreItem xmlns:ds="http://schemas.openxmlformats.org/officeDocument/2006/customXml" ds:itemID="{1D08848E-12A9-4C16-BF16-8FD85D7EA69B}">
  <ds:schemaRefs>
    <ds:schemaRef ds:uri="http://schemas.microsoft.com/sharepoint/v3/contenttype/forms"/>
  </ds:schemaRefs>
</ds:datastoreItem>
</file>

<file path=customXml/itemProps3.xml><?xml version="1.0" encoding="utf-8"?>
<ds:datastoreItem xmlns:ds="http://schemas.openxmlformats.org/officeDocument/2006/customXml" ds:itemID="{80B48404-E462-4BAF-964D-DA7D3040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221e-deb5-470c-bb47-a5231517382b"/>
    <ds:schemaRef ds:uri="44a9552e-152c-4798-9a81-95ed67d0d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AB98D-A614-485D-9721-65BCADF882A4}">
  <ds:schemaRefs>
    <ds:schemaRef ds:uri="http://www.w3.org/2001/XMLSchema"/>
  </ds:schemaRefs>
</ds:datastoreItem>
</file>

<file path=customXml/itemProps5.xml><?xml version="1.0" encoding="utf-8"?>
<ds:datastoreItem xmlns:ds="http://schemas.openxmlformats.org/officeDocument/2006/customXml" ds:itemID="{1876DC6E-4300-4E69-9314-43E0CA5E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Tyson Vaughan</cp:lastModifiedBy>
  <cp:revision>8</cp:revision>
  <cp:lastPrinted>2016-04-17T05:54:00Z</cp:lastPrinted>
  <dcterms:created xsi:type="dcterms:W3CDTF">2020-12-08T02:43:00Z</dcterms:created>
  <dcterms:modified xsi:type="dcterms:W3CDTF">2020-12-08T02:48:00Z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0x010100A40E8DBED1D18A4D9A19F36CB6DAD5FB</vt:lpwstr>
  </property>
</Properties>
</file>